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الحكم في السحرة-كتاب تحريم الدم-سنن النسائي — رقم الحديث: 4079 — الرقم الفرعي: 99 — الرقم الأصلي: 4079</w:t>
        <w:br/>
      </w:r>
      <w:r>
        <w:rPr>
          <w:rtl w:val="1"/>
        </w:rPr>
        <w:t xml:space="preserve"> أخبرنا عمرو بن عليّ قال:حدثنا أبو داود قال:حدثنا عبّاد بن ميسرة المَنقريّ عن الحسن عن أبي هريرة قال:قال رسول الله صلى الله عليه وسلم</w:t>
        <w:br/>
      </w:r>
      <w:r>
        <w:rPr>
          <w:color w:val="FF0000"/>
          <w:rtl w:val="1"/>
        </w:rPr>
        <w:t xml:space="preserve">"مَنْ عَقَدَ عُقدةً، ثُمَّ نفَثَ فيها، فقد سَحَرَ، ومَنْ سَحَرَ فقد أشرَكَ، ومَنْ تَعلَّقَ شيئًا وُكِلَ إليه".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تحريم السحر والكهانة وحدهما - الحدود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