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قضى دون حقّه أو حلّله فهو جائز-كتاب الاستقراض-صحيح البخاري — رقم الحديث: 2395 — الرقم الفرعي: 99 — الرقم الأصلي: 2395</w:t>
        <w:br/>
      </w:r>
      <w:r>
        <w:rPr>
          <w:rtl w:val="1"/>
        </w:rPr>
        <w:t xml:space="preserve"> حدثنا عبدان أخبرنا عبد الله أخبرنا يونس عن الزهريّ قال:حدثني ابن كعب بن مالك أنّ جابر بن عبد الله رضي الله عنهما</w:t>
        <w:br/>
      </w:r>
      <w:r>
        <w:rPr>
          <w:color w:val="FF0000"/>
          <w:rtl w:val="1"/>
        </w:rPr>
        <w:t xml:space="preserve">أخبَره: أنَّ أباه قُتِلَ يومَ أُحدٍ شهيدًا وعليه دَينٌ،  </w:t>
      </w:r>
      <w:r>
        <w:rPr>
          <w:color w:val="FF0000"/>
          <w:rtl w:val="1"/>
        </w:rPr>
        <w:t xml:space="preserve">فاشتَدَّ الغُرَماءُ في حُقُوقِهم، فأتيتُ النبيَّ ﷺ، فسألهم أنْ يَقبَلُوا تمرَ حائطي، ويُحلِّلُوا أبي فأبَوْا،  </w:t>
      </w:r>
      <w:r>
        <w:rPr>
          <w:color w:val="FF0000"/>
          <w:rtl w:val="1"/>
        </w:rPr>
        <w:t xml:space="preserve">فلم يُعْطِهمُ النبيُّ ﷺ حائطي، وقال: «سنَغْدُو عليكَ»،  </w:t>
      </w:r>
      <w:r>
        <w:rPr>
          <w:color w:val="FF0000"/>
          <w:rtl w:val="1"/>
        </w:rPr>
        <w:t xml:space="preserve">فغَدَا علينا حينَ أصبَحَ، فطافَ في النَّخْلِ، ودَعَا في ثَمَرِها بالبَرَكةِ، فجَدَدْتُها، فقَضَيتُهم، وبَقِيَ لنا مِن تَمْرِها.  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الإبراء من القرض أو من جزء منه - انقضاء القرض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بالبركة لثمار المدينة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مقتل عبد الله بن حرام وقضاء دينة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