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الطيب عند الإحرام-كتاب الحجّ-صحيح البخاري — رقم الحديث: 1538 — الرقم الفرعي: 99 — الرقم الأصلي: 1538</w:t>
        <w:br/>
      </w:r>
      <w:r>
        <w:rPr>
          <w:rtl w:val="1"/>
        </w:rPr>
        <w:t xml:space="preserve"> حدثني الأسود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كأنّي أنظُرُ إلى وَبِيصِ الطِّيبِ في مَفارقِ رسولِ الله ﷺ وهو مُحرِم. </w:t>
      </w:r>
    </w:p>
    <w:p>
      <w:pPr>
        <w:bidi w:val="1"/>
        <w:jc w:val="start"/>
      </w:pPr>
      <w:r>
        <w:rPr>
          <w:rtl w:val="1"/>
        </w:rPr>
        <w:t>الشرح: الدلالة: ترجيل الشعر (تمشيطه) ودهنه - شعر الرأس</w:t>
      </w:r>
    </w:p>
    <w:p>
      <w:pPr>
        <w:bidi w:val="1"/>
        <w:jc w:val="start"/>
      </w:pPr>
      <w:r>
        <w:rPr>
          <w:rtl w:val="1"/>
        </w:rPr>
        <w:t>الشرح: الدلالة: فرق الشعر - شعر الرأس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