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أشعر وقلّد بذي الحليفة ثم أحرم-كتاب الحجّ-صحيح البخاري — رقم الحديث: 1696 — الرقم الفرعي: 99 — الرقم الأصلي: 1696</w:t>
        <w:br/>
      </w:r>
      <w:r>
        <w:rPr>
          <w:rtl w:val="1"/>
        </w:rPr>
        <w:t xml:space="preserve"> حدثنا أبو نعيم حدثنا أفلح عن القاسم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فَتَلْتُ قَلَائدَ بُدْنِ النبيِّ ﷺ بيَدَيَّ، ثمَّ قَلَّدَها وأشْعَرَها وأهدَاها،  </w:t>
      </w:r>
      <w:r>
        <w:rPr>
          <w:color w:val="FF0000"/>
          <w:rtl w:val="1"/>
        </w:rPr>
        <w:t xml:space="preserve">فما حَرُمَ عليه شيءٌ كان أُحِلَّ له.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الهدي - توزيع الغذاء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سوق الهدي وتقليده وإشعاره واستخدامه - الهدي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