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حكم أرض خيبر-كتاب الخراج والإمارة والفيء-سنن أبي داود — رقم الحديث: 3017 — الرقم الفرعي: 99 — الرقم الأصلي: 3017</w:t>
        <w:br/>
      </w:r>
      <w:r>
        <w:rPr>
          <w:rtl w:val="1"/>
        </w:rPr>
        <w:t xml:space="preserve"> حدثنا محمد بن يحيى بن فارس ثنا عبد الله بن محمد عن جُويرية عن مالك عن الزهريّ أنّ سعيد بن المسيب</w:t>
        <w:br/>
      </w:r>
      <w:r>
        <w:rPr>
          <w:color w:val="FF0000"/>
          <w:rtl w:val="1"/>
        </w:rPr>
        <w:t xml:space="preserve">أنَّ رسولَ الله ﷺ افتتَحَ بعضَ خَيبرَ عَنْوةً. </w:t>
      </w:r>
      <w:r>
        <w:rPr>
          <w:color w:val="FF0000"/>
          <w:rtl w:val="1"/>
        </w:rPr>
        <w:t xml:space="preserve">قال أَبو داود: قُرئَ على الحارِث بنِ مِسْكِين - وأَنا شاهدٌ - أَخبَرَكم ابنُ وَهْب، حدَّثَني مالك، عن ابنِ شِهاب:  </w:t>
      </w:r>
      <w:r>
        <w:rPr>
          <w:color w:val="FF0000"/>
          <w:rtl w:val="1"/>
        </w:rPr>
        <w:t xml:space="preserve">أنَّ خَيبرَ كان بعضُها عَنْوةً، وبعضُها صُلحًا، والكَتِيبةُ أَكثرُها عَنْوةً، وفيها صُلْح. </w:t>
      </w:r>
      <w:r>
        <w:rPr>
          <w:color w:val="FF0000"/>
          <w:rtl w:val="1"/>
        </w:rPr>
        <w:t xml:space="preserve">قلتُ لِمالك: وما الكَتِيبة؟ قال: أَرضُ خَيبَر، وهي أَربعونَ أَلفَ عَذْق.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التعاهد - العلاقات الدولية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عقد الهدنة والصلح - التعاهد</w:t>
      </w:r>
    </w:p>
    <w:p>
      <w:pPr>
        <w:bidi w:val="1"/>
        <w:jc w:val="start"/>
      </w:pPr>
      <w:r>
        <w:rPr>
          <w:rtl w:val="1"/>
        </w:rPr>
        <w:t>الشرح: الدلالة: دار الصلح والهدنة - انواع الأقاليم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