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15020 — الرقم الفرعي: 99 — الرقم الأصلي: 15020 — ج: 3 — ص: 374</w:t>
        <w:br/>
      </w:r>
      <w:r>
        <w:rPr>
          <w:rtl w:val="1"/>
        </w:rPr>
        <w:t xml:space="preserve"> حدثنا عبد الله حدثني أبي ثنا يعقوب ثنا أبي عن ابن إسحاق حدثني عبد الله بن محمد بن عقيل بن أبي طالب قال:دخلت على جابر بن عبد الله الأنصاريّ ملاحظة أخو بني سلمة</w:t>
        <w:br/>
      </w:r>
      <w:r>
        <w:rPr>
          <w:color w:val="000000"/>
          <w:rtl w:val="1"/>
        </w:rPr>
        <w:t xml:space="preserve">ومَعِي مُحمَّدُ بنُ عَمرِو بنِ حَسَنِ بنِ عَليٍّ وأَبو الأَسبَاطِ، مَولًى لِعَبدِ اللهِ بنِ جَعفَرٍ كان يَتبَعُ العِلمَ، قال: فسَأَلنَاه عنِ الوُضُوءِ مِمَّا مَسَّتِ النَّار مِنَ الطَّعَامِ،  </w:t>
      </w:r>
      <w:r>
        <w:rPr>
          <w:color w:val="000000"/>
          <w:rtl w:val="1"/>
        </w:rPr>
        <w:t xml:space="preserve">فقال: خَرَجتُ أُرِيدُ رَسولَ اللهِ ﷺ في مَسجِدِه، فلم أَجِده، فسَأَلتُ عَنهُ فقِيلَ لِي: هو بِالأَسوَافِ عِندَ بَناتِ سَعدِ بنِ الرَّبِيعِ، أَخِي بَلحَارِثِ بنِ الحارِثِ بنِ الخَزرَجِ يَقسِمُ بينَهُنَّ ميراثَهُنَّ مِن أَبِيهِنَّ،  </w:t>
      </w:r>
      <w:r>
        <w:rPr>
          <w:color w:val="000000"/>
          <w:rtl w:val="1"/>
        </w:rPr>
        <w:t xml:space="preserve">قال: وكُنَّ أَوَّلَ نِسوَةٍ ورِثنَ مِن أَبِيهِنَّ في الإِسلامِ،  </w:t>
      </w:r>
      <w:r>
        <w:rPr>
          <w:color w:val="000000"/>
          <w:rtl w:val="1"/>
        </w:rPr>
        <w:t xml:space="preserve">قال: فخَرَجتُ حتَّى جِئتُ الأَسوَافَ، وهو مالُ سَعدِ بنِ الرَّبِيعِ، فوَجَدتُ رَسُولَ اللهِ ﷺ في صورٍ مِن نَخلٍ، قَد رُشَّ له فهو فيه.  </w:t>
      </w:r>
      <w:r>
        <w:rPr>
          <w:color w:val="000000"/>
          <w:rtl w:val="1"/>
        </w:rPr>
        <w:t xml:space="preserve">قال: فأُتِيَ بغَدَاءٍ مِن خُبزٍ، ولَحمٍ قَد صُنِعَ له، فأَكَلَ رَسولُ اللهِ ﷺ، وأَكَلَ القَومُ مَعَه  </w:t>
      </w:r>
      <w:r>
        <w:rPr>
          <w:color w:val="000000"/>
          <w:rtl w:val="1"/>
        </w:rPr>
        <w:t xml:space="preserve">قال: ثُمَّ بالَ، ثُمَّ تَوضَّأَ رَسولُ اللهِ ﷺ لِلظُّهرِ، وتَوضَّأَ القَومُ معه.  </w:t>
      </w:r>
      <w:r>
        <w:rPr>
          <w:color w:val="000000"/>
          <w:rtl w:val="1"/>
        </w:rPr>
        <w:t xml:space="preserve">قال: «ثمَّ صَلَّى بهِم الظُّهرَ،  </w:t>
      </w:r>
      <w:r>
        <w:rPr>
          <w:color w:val="000000"/>
          <w:rtl w:val="1"/>
        </w:rPr>
        <w:t xml:space="preserve">قَالَ: ثمَّ قعَدَ رَسولُ اللهِ ﷺ في بَعضِ ما بقي مِن قِسمَتِه لَهُنَّ حتَّى حَضَرَتِ الصَّلاةُ، وفَرَغَ مِن أَمرِهِ مِنهنَّ،  </w:t>
      </w:r>
      <w:r>
        <w:rPr>
          <w:color w:val="FF0000"/>
          <w:rtl w:val="1"/>
        </w:rPr>
        <w:t xml:space="preserve">قال: فرَدُّوا عَلَى رَسولِ اللهِ ﷺ فَضلَ غَدَائِه مِن الخُبزِ، واللَّحمِ فأَكَلَ، وأَكَلَ القَومُ معه، ثمَّ نَهَضَ، فصَلَّى بِنا العَصرَ، وما مَسَّ ماءً ولا أَحَدٌ مِن القَومِ.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أكل ما مست النار  - ما جاء في نقض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