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9426 — الرقم الفرعي: 99 — الرقم الأصلي: 9426</w:t>
        <w:br/>
      </w:r>
      <w:r>
        <w:rPr>
          <w:rtl w:val="1"/>
        </w:rPr>
        <w:t xml:space="preserve"> حدثنا هيثم بن خلف، حدثنا الحسن بن حماد الوراق، حدثنا أبو يحيى الحمانيّ، عن يوسف بن ميمون، عن عطاء، عن ابن عباس،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 ورسولَه حرَّم عليكُم شُربَ الخَمرِ وثَمنَها،  </w:t>
      </w:r>
      <w:r>
        <w:rPr>
          <w:color w:val="FF0000"/>
          <w:rtl w:val="1"/>
        </w:rPr>
        <w:t xml:space="preserve">وحرَّمَ عليكُم أَكلَ المَيتةِ وثَمنَها،  </w:t>
      </w:r>
      <w:r>
        <w:rPr>
          <w:color w:val="FF0000"/>
          <w:rtl w:val="1"/>
        </w:rPr>
        <w:t xml:space="preserve">وحرَّم عليكُم الخنازيرَ وأَكلَها وثَمنَها»،  </w:t>
      </w:r>
      <w:r>
        <w:rPr>
          <w:color w:val="000000"/>
          <w:rtl w:val="1"/>
        </w:rPr>
        <w:t xml:space="preserve">وقال: «قُصُّوا الشّواربَ، وأَعفُوا اللِّحى،  </w:t>
      </w:r>
      <w:r>
        <w:rPr>
          <w:color w:val="000000"/>
          <w:rtl w:val="1"/>
        </w:rPr>
        <w:t xml:space="preserve">ولا تَمشُوا في الأَسواقِ إلّا وعليكُم الأُزُر،  </w:t>
      </w:r>
      <w:r>
        <w:rPr>
          <w:color w:val="000000"/>
          <w:rtl w:val="1"/>
        </w:rPr>
        <w:t xml:space="preserve">إنّه ليس منّا مَن عمِلَ سُنَّةَ غيرِنا».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بيع الميتة - أن لا يكون المعقود عليه مالًا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الخنزير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 عظام الميتة وجلدها وصوفها وريشها وحافرها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