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النوافل-كتاب الصلاة-صحيح البخاري — رقم الحديث: 1186 — الرقم الفرعي: 99 — الرقم الأصلي: 1186</w:t>
        <w:br/>
      </w:r>
      <w:r>
        <w:rPr>
          <w:rtl w:val="1"/>
        </w:rPr>
        <w:t xml:space="preserve"> فزعم محمودٌ أنه سمع عتبان بن مالك الأنصاريّ،رضي الله عنه ملاحظة وكان ممّن شهد بدراً مع رسول الله،صلى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كنتُ أُصَلّي لقومي ببَني سالمٍ،  </w:t>
      </w:r>
      <w:r>
        <w:rPr>
          <w:color w:val="000000"/>
          <w:rtl w:val="1"/>
        </w:rPr>
        <w:t xml:space="preserve">وكان يَحُولُ بيني وبينَهم وادٍ إذا جاءَتِ الأمطارُ فيَشُقُّ عليَّ اجتِيازُه قِبَلَ مسجدِهم،  </w:t>
      </w:r>
      <w:r>
        <w:rPr>
          <w:color w:val="000000"/>
          <w:rtl w:val="1"/>
        </w:rPr>
        <w:t xml:space="preserve">فجئتُ رسولَ الله ﷺ فقلتُ له: إنّي أنكَرْتُ بَصَري، وإنَّ الوادِيَ الَّذي بيني وبينَ قومي يَسِيلُ إذا جاءَتِ الأمطارُ، فيَشُقُّ عليَّ اجتِيازُه، فوَدِدْتُ أنَّكَ تَأْتي فتُصلِّي من بَيْتي مَكانًا أَتَّخِذُه مُصَلّىً،  </w:t>
      </w:r>
      <w:r>
        <w:rPr>
          <w:color w:val="FF0000"/>
          <w:rtl w:val="1"/>
        </w:rPr>
        <w:t xml:space="preserve">فقال رسولُ الله ﷺ: «سأفعَلُ» فغَدَا عليَّ رسولُ الله ﷺ وأبو بكرٍ، رضي الله عنه، بعدَما اشتَدَّ النَّهارُ،  </w:t>
      </w:r>
      <w:r>
        <w:rPr>
          <w:color w:val="FF0000"/>
          <w:rtl w:val="1"/>
        </w:rPr>
        <w:t xml:space="preserve">فاستأْذَنَ رسولُ الله ﷺ، فأذِنْتُ له،  </w:t>
      </w:r>
      <w:r>
        <w:rPr>
          <w:color w:val="FF0000"/>
          <w:rtl w:val="1"/>
        </w:rPr>
        <w:t xml:space="preserve">فلم يَجلِسْ حتَّى قال: «أينَ تُحِبُّ أنْ أُصَلِّيَ من بيتِكَ؟» فأشَرْتُ له إلى المكانِ الَّذي أُحِبُّ أنْ أُصَلِّيَ فيه،  </w:t>
      </w:r>
      <w:r>
        <w:rPr>
          <w:color w:val="FF0000"/>
          <w:rtl w:val="1"/>
        </w:rPr>
        <w:t xml:space="preserve">فقامَ رسولُ الله ﷺ فكَبَّرَ، وصَفَفْنا وراءَه، فصَلَّى رَكْعتَينِ، ثمَّ سَلَّمَ، وسَلَّمْنا حينَ سَلَّمَ،  </w:t>
      </w:r>
      <w:r>
        <w:rPr>
          <w:color w:val="FF0000"/>
          <w:rtl w:val="1"/>
        </w:rPr>
        <w:t xml:space="preserve">فحَبَسْتُه على خَزِيرٍ يُصْنَعُ له،  </w:t>
      </w:r>
      <w:r>
        <w:rPr>
          <w:color w:val="000000"/>
          <w:rtl w:val="1"/>
        </w:rPr>
        <w:t xml:space="preserve">فسَمِعَ أهلُ الدّارِ أنَّ رسولَ الله ﷺ في بيتي، فثَابَ رجالٌ منهم حتَّى كَثُرَ الرِّجالُ في البيتِ،  </w:t>
      </w:r>
      <w:r>
        <w:rPr>
          <w:color w:val="000000"/>
          <w:rtl w:val="1"/>
        </w:rPr>
        <w:t xml:space="preserve">فقال رجلٌ منهم: ما فَعَلَ مالكٌ؟ لا أَرَاه، فقال رجلٌ منهم: ذاكَ مُنافقٌ لا يُحِبُّ اللهَ ورسولَه،  </w:t>
      </w:r>
      <w:r>
        <w:rPr>
          <w:color w:val="FF0000"/>
          <w:rtl w:val="1"/>
        </w:rPr>
        <w:t xml:space="preserve">فقال رسولُ الله ﷺ: «لا تَقُلْ ذاكَ، ألَا تَراهُ قال: لا إلهَ إلَّا اللهُ، يَبْتَغي بذلكَ وجهَ الله؟»  </w:t>
      </w:r>
      <w:r>
        <w:rPr>
          <w:color w:val="000000"/>
          <w:rtl w:val="1"/>
        </w:rPr>
        <w:t xml:space="preserve">فقال: اللهُ ورسولُه أعلَمُ، أمَّا نحنُ فوالله لا نَرَى وُدَّه ولا حديثَه إلَّا إلى المنافقِينَ،  </w:t>
      </w:r>
      <w:r>
        <w:rPr>
          <w:color w:val="FF0000"/>
          <w:rtl w:val="1"/>
        </w:rPr>
        <w:t xml:space="preserve">قال رسولُ الله ﷺ: «فإنَّ اللهَ قد حَرَّمَ على النّارِ مَن قال: لا إلهَ إلّا الله، يَبْتَغي بذلكَ وجهَ الله». </w:t>
      </w:r>
      <w:r>
        <w:rPr>
          <w:color w:val="000000"/>
          <w:rtl w:val="1"/>
        </w:rPr>
        <w:t xml:space="preserve">قال محمودٌ: فحَدَّثتُها قومًا فيهم أبو أيوبَ صاحبُ رسولِ الله ﷺ في غَزْوَتِه الَّتي تُوُفِّيَ فيها، ويزيدُ بنُ معاويةَ عليهم بأرضِ الرُّومِ، فأنكَرَها عليَّ أبو أيوبَ، قال: والله ما أظُنُّ رسولَ الله ﷺ قال ما قلتَ قَطُّ.  </w:t>
      </w:r>
      <w:r>
        <w:rPr>
          <w:color w:val="FF0000"/>
          <w:rtl w:val="1"/>
        </w:rPr>
        <w:t xml:space="preserve">فكَبُرَ ذلكَ عليَّ، فجَعَلْتُ لله عليَّ إنْ سَلَّمَني حتَّى أقفُلَ من غَزْوَتي، أنْ أسألَ عنها عِتْبانَ بنَ مالكٍ إنْ وَجَدتُه حَيًّا في مسجدِ قومِه،  </w:t>
      </w:r>
      <w:r>
        <w:rPr>
          <w:color w:val="FF0000"/>
          <w:rtl w:val="1"/>
        </w:rPr>
        <w:t xml:space="preserve">فقَفَلْتُ فأهلَلْتُ بحَجّةٍ أو بعُمْرةٍ، ثمَّ سِرْتُ حتَّى قَدِمْتُ المدينةَ، فأتيتُ بني سالمٍ، فإذا عِتْبانُ شيخٌ أعمَى يُصلِّي لقومِه،  </w:t>
      </w:r>
      <w:r>
        <w:rPr>
          <w:color w:val="FF0000"/>
          <w:rtl w:val="1"/>
        </w:rPr>
        <w:t xml:space="preserve">فلمّا سَلَّمَ منَ الصلاةِ سَلَّمْتُ عليه وأخبَرْتُه مَن أنا، ثمَّ سألتُه عن ذلكَ الحديثِ، فحدَّثَنِيه كما حدَّثَنِيه أوَّلَ مَرّة.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