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4922 — الرقم الفرعي: 99 — الرقم الأصلي: 4922 — ج: 2 — ص: 35</w:t>
        <w:br/>
      </w:r>
      <w:r>
        <w:rPr>
          <w:rtl w:val="1"/>
        </w:rPr>
        <w:t xml:space="preserve"> حدثنا عبد الرزاق حدثنا معمر عن أيوب عن نافع عن ابن عمر</w:t>
        <w:br/>
      </w:r>
      <w:r>
        <w:rPr>
          <w:color w:val="000000"/>
          <w:rtl w:val="1"/>
        </w:rPr>
        <w:t xml:space="preserve">قَالَ: لَمَّا قَفَلَ النَّبِيُّ ﷺ مِنْ حُنَيْنٍ سَأَلَ عُمَرُ عَنْ نَذْرٍ كَانَ نَذَرَهُ فِي الْجَاهِلِيَّةِ، اعْتِكَافُ يَوْمٍ؟ فَأَمَرَ بِهِ.  </w:t>
      </w:r>
      <w:r>
        <w:rPr>
          <w:color w:val="FF0000"/>
          <w:rtl w:val="1"/>
        </w:rPr>
        <w:t xml:space="preserve">فَانْطَلَقَ ابْنُ عُمَرَ بَيْنَ يَدَيْهِ، قَالَ: وَبَعَثَ مَعِي بِجَارِيَةٍ كَانَ أَصَابَهَا يَوْمَ حُنَيْنٍ،  </w:t>
      </w:r>
      <w:r>
        <w:rPr>
          <w:color w:val="FF0000"/>
          <w:rtl w:val="1"/>
        </w:rPr>
        <w:t xml:space="preserve">قَالَ: فَجَعَلْتُهَا فِي بَعْضِ بُيُوتِ الْأَعْرَابِ حِينَ نَزَلْتُ، فَإِذَا أَنَا بِسَبْيِ حُنَيْنٍ قَدْ خَرَجُوا يَسْعَوْنَ، يَقُولُونَ: أَعْتَقَنَا رَسُولُ اللهِ ﷺ  </w:t>
      </w:r>
      <w:r>
        <w:rPr>
          <w:color w:val="FF0000"/>
          <w:rtl w:val="1"/>
        </w:rPr>
        <w:t xml:space="preserve">قَالَ: فَقَالَ عُمَرُ لِعَبْدِ اللهِ اذْهَبْ فَأَرْسِلْهَا، قَالَ: فَذَهَبْتُ فَأَرْسَلْتُهَا.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سبي حنين - غزوة هوازن ويوم حنين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