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وأُولات الأحمال أجلهنّ-كتاب الطلاق-صحيح البخاري — رقم الحديث: 5320 — الرقم الفرعي: 99 — الرقم الأصلي: 5320</w:t>
        <w:br/>
      </w:r>
      <w:r>
        <w:rPr>
          <w:rtl w:val="1"/>
        </w:rPr>
        <w:t xml:space="preserve"> حدثنا يحيى بن قَزَعة حدثنا مالك عن هشام بن عروة عن أبيه عن المِسْوَر بن مَخْرمة</w:t>
        <w:br/>
      </w:r>
      <w:r>
        <w:rPr>
          <w:color w:val="FF0000"/>
          <w:rtl w:val="1"/>
        </w:rPr>
        <w:t xml:space="preserve">أنَّ سُبيعةَ الأسلَمِيَّةَ نُفِسَتْ بعدَ وفاةِ زوجِها بليالٍ،  </w:t>
      </w:r>
      <w:r>
        <w:rPr>
          <w:color w:val="FF0000"/>
          <w:rtl w:val="1"/>
        </w:rPr>
        <w:t xml:space="preserve">فجاءَتِ النبيَّ ﷺ فاستأْذنَتْه أنْ تَنكِحَ، فأذِنَ لها، فنَكَحَت.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عدة الحامل - حساب العدة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