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الحمية-كتاب الطب-سنن الترمذي — رقم الحديث: 2036 — الرقم الفرعي: 99 — الرقم الأصلي: 2037</w:t>
        <w:br/>
      </w:r>
      <w:r>
        <w:rPr>
          <w:rtl w:val="1"/>
        </w:rPr>
        <w:t xml:space="preserve"> حدثنا محمد بن يحيى حدثنا إسحاق بن محمد الفَرويّ حدثنا إسماعيل بن جعفر عن عُمارة بن غَزيّة عن عاصم بن عمر بن قتادة عن محمود بن لبيد عن قتادة بن النعمان أنّ رسول الله صلى الله عليه وسلم</w:t>
        <w:br/>
      </w:r>
      <w:r>
        <w:rPr>
          <w:color w:val="FF0000"/>
          <w:rtl w:val="1"/>
        </w:rPr>
        <w:t xml:space="preserve">قال: «إذا أحَبَّ اللهُ عَبْدًا، ‌حَمَاهُ ‌الدُّنْيا، كما يَظَلُّ أحَدُكُم يَحْمي سَقيمَهُ الماءَ». </w:t>
      </w:r>
      <w:r>
        <w:rPr>
          <w:color w:val="000000"/>
          <w:rtl w:val="1"/>
        </w:rPr>
        <w:t xml:space="preserve">وفي البابِ عن صُهَيْبٍ، وأُمِّ المنذر. </w:t>
      </w:r>
      <w:r>
        <w:rPr>
          <w:color w:val="000000"/>
          <w:rtl w:val="1"/>
        </w:rPr>
        <w:t xml:space="preserve">هذا حَديثٌ حَسَنٌ غريبٌ، وقد رُوِيَ هذا الحديثُ عن مَحمودِ بن لَبيدٍ، عن النبيِّ صلى الله عليه وسلم مُرْسَلًا. </w:t>
      </w:r>
      <w:r>
        <w:rPr>
          <w:color w:val="000000"/>
          <w:rtl w:val="1"/>
        </w:rPr>
        <w:t xml:space="preserve">حَدَّثَنا عَليُّ بن حُجْرٍ، قال: أخْبَرَنا إسماعيلُ بن جَعْفَرٍ، عن عَمْرو بن أبي عمرو، عن عَاصِم بن عُمَرَ بن قَتادَةَ، عن مَحْمودِ بن لَبيدٍ، عن النبيِّ صلى الله عليه وسلم نَحْوَهُ، ولَمْ يَذكُرْ فيهِ عن قَتادَةَ بن النُّعْمانِ. </w:t>
      </w:r>
      <w:r>
        <w:rPr>
          <w:color w:val="000000"/>
          <w:rtl w:val="1"/>
        </w:rPr>
        <w:t xml:space="preserve">وقَتادَةُ بن النُّعْمانِ الظَّفَرِيُّ هو: أخو أبي سَعيدٍ الخُدْريِّ لأمِّهِ، ومَحْمودُ بن لَبيدٍ قد رأى النَّبيَّ صلى الله عليه وسلم، وأدركه وهو غُلامٌ صَغيرٌ. </w:t>
      </w:r>
      <w:r>
        <w:rPr>
          <w:color w:val="000000"/>
          <w:rtl w:val="1"/>
        </w:rPr>
        <w:t xml:space="preserve"> </w:t>
      </w:r>
    </w:p>
    <w:p>
      <w:pPr>
        <w:bidi w:val="1"/>
        <w:jc w:val="start"/>
      </w:pPr>
      <w:r>
        <w:rPr>
          <w:rtl w:val="1"/>
        </w:rPr>
        <w:t>درجة الحديث: صحيح /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المعية والقرب وسواهما - ألفاظ خبرية في ذات الله تعالى</w:t>
      </w:r>
    </w:p>
    <w:p>
      <w:pPr>
        <w:bidi w:val="1"/>
        <w:jc w:val="start"/>
      </w:pPr>
      <w:r>
        <w:rPr>
          <w:rtl w:val="1"/>
        </w:rPr>
        <w:t>الشرح: الدلالة: التصور الإسلامي للالوهية - التصور الإسلامي</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أسلوب ضرب المثل والتشبيه</w:t>
      </w:r>
    </w:p>
    <w:p>
      <w:pPr>
        <w:bidi w:val="1"/>
        <w:jc w:val="start"/>
      </w:pPr>
      <w:r>
        <w:rPr>
          <w:rtl w:val="1"/>
        </w:rPr>
        <w:t>الشرح: الدلالة: المرسل - أوصاف السند من حيث الاتصال والانقطاع</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الحب والبغض والرضى والسخط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