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كيف الحشر-كتاب الرقاق-صحيح البخاري — رقم الحديث: 6528 — الرقم الفرعي: 99 — الرقم الأصلي: 6528</w:t>
        <w:br/>
      </w:r>
      <w:r>
        <w:rPr>
          <w:rtl w:val="1"/>
        </w:rPr>
        <w:t xml:space="preserve"> حدثني محمد بن بشار حدثنا غندر حدثنا شعبة عن أبي إسحاق عن عمرو بن ميمون عن عبد الله</w:t>
        <w:br/>
      </w:r>
      <w:r>
        <w:rPr>
          <w:color w:val="000000"/>
          <w:rtl w:val="1"/>
        </w:rPr>
        <w:t xml:space="preserve">قال: كنَّا مع النبيِّ في قُبّةٍ  </w:t>
      </w:r>
      <w:r>
        <w:rPr>
          <w:color w:val="FF0000"/>
          <w:rtl w:val="1"/>
        </w:rPr>
        <w:t xml:space="preserve">فقال: «أتَرْضَوْنَ أنْ تكونُوا رُبُعَ أهلِ الجنَّةِ؟» قلنا: نعم،  </w:t>
      </w:r>
      <w:r>
        <w:rPr>
          <w:color w:val="FF0000"/>
          <w:rtl w:val="1"/>
        </w:rPr>
        <w:t xml:space="preserve">قال: «تَرْضَوْنَ أنْ تكونُوا ثُلُثَ أهلِ الجنَّةِ؟» قلنا: نعم،  </w:t>
      </w:r>
      <w:r>
        <w:rPr>
          <w:color w:val="FF0000"/>
          <w:rtl w:val="1"/>
        </w:rPr>
        <w:t xml:space="preserve">قال: أتَرْضَوْن أنْ تكونُوا شَطْرَ أهلِ الجنَّةِ؟» قلنا: نعم،  </w:t>
      </w:r>
      <w:r>
        <w:rPr>
          <w:color w:val="FF0000"/>
          <w:rtl w:val="1"/>
        </w:rPr>
        <w:t xml:space="preserve">قال: «والَّذي نَفْسُ محمَّدٍ بيدِه إنّي لأرجُو أنْ تكونُوا نصفَ أهلِ الجنَّةِ،  </w:t>
      </w:r>
      <w:r>
        <w:rPr>
          <w:color w:val="FF0000"/>
          <w:rtl w:val="1"/>
        </w:rPr>
        <w:t xml:space="preserve">وذلكَ أنَّ الجنَّةَ لا يَدخُلُها إلَّا نَفْسٌ مُسلِمةٌ،  </w:t>
      </w:r>
      <w:r>
        <w:rPr>
          <w:color w:val="000000"/>
          <w:rtl w:val="1"/>
        </w:rPr>
        <w:t xml:space="preserve">وما أنتُم في أهلِ الشِّرْكِ، إلَّا كالشَّعَرةِ البَيضاءِ في جِلْدِ الثَّوْرِ الأسوَدِ، أو كالشَّعَرةِ السَّوْداءِ في جِلْدِ الثَّوْرِ الأحمَرِ». </w:t>
      </w:r>
    </w:p>
    <w:p>
      <w:pPr>
        <w:bidi w:val="1"/>
        <w:jc w:val="start"/>
      </w:pPr>
      <w:r>
        <w:rPr>
          <w:rtl w:val="1"/>
        </w:rPr>
        <w:t>الشرح: الدلالة: التفاضل بين الأنبياء والرسل - الإيمان بالأنبياء والرسل</w:t>
      </w:r>
    </w:p>
    <w:p>
      <w:pPr>
        <w:bidi w:val="1"/>
        <w:jc w:val="start"/>
      </w:pPr>
      <w:r>
        <w:rPr>
          <w:rtl w:val="1"/>
        </w:rPr>
        <w:t>الشرح: الدلالة: الإيمان شرط دخول الجنة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قيمة التفاؤل بدخول الجنة والخروج من النار - قيم الأمل والتفاؤل</w:t>
      </w:r>
    </w:p>
    <w:p>
      <w:pPr>
        <w:bidi w:val="1"/>
        <w:jc w:val="start"/>
      </w:pPr>
      <w:r>
        <w:rPr>
          <w:rtl w:val="1"/>
        </w:rPr>
        <w:t>الشرح: الدلالة: الرجاء والأمل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اشراك المتعلم في الموقف التعليمي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أمة محمد ﷺ نصف أهل الجنة - سادسًا: أهل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