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المواقيت-كتاب الصلاة-سنن أبي داود — رقم الحديث: 393 — الرقم الفرعي: 99 — الرقم الأصلي: 393</w:t>
        <w:br/>
      </w:r>
      <w:r>
        <w:rPr>
          <w:rtl w:val="1"/>
        </w:rPr>
        <w:t xml:space="preserve"> حدثنا مُسدد ثنا يحيى عن سفيان حدثني عبد الرحمن بن فلان بن أبي ربيعة قال أبو داود: ملاحظة هو عبد الرحمن بن الحرث بن عيّاش بن أبي ربيعة عن حكيم بن حكيم عن نافع بن جبير بن مطعم عن ابن عبّاس قال:قال رسول الله صلى الله عليه وسلم</w:t>
        <w:br/>
      </w:r>
      <w:r>
        <w:rPr>
          <w:color w:val="FF0000"/>
          <w:rtl w:val="1"/>
        </w:rPr>
        <w:t xml:space="preserve">«أمَّني جِبريلُ عندَ البيت مَرّتَين،  </w:t>
      </w:r>
      <w:r>
        <w:rPr>
          <w:color w:val="FF0000"/>
          <w:rtl w:val="1"/>
        </w:rPr>
        <w:t xml:space="preserve">فصلَّى بي الظُّهرَ حينَ زالتِ الشَّمسُ وكانت قَدْرَ الشِّراك،  </w:t>
      </w:r>
      <w:r>
        <w:rPr>
          <w:color w:val="FF0000"/>
          <w:rtl w:val="1"/>
        </w:rPr>
        <w:t xml:space="preserve">وصلَّى بي العَصرَ حينَ كان ظِلُّه مِثلَه،  </w:t>
      </w:r>
      <w:r>
        <w:rPr>
          <w:color w:val="FF0000"/>
          <w:rtl w:val="1"/>
        </w:rPr>
        <w:t xml:space="preserve">وصلَّى بي - يعنى المَغربَ - حينَ أفطَرَ الصَّائمُ،  </w:t>
      </w:r>
      <w:r>
        <w:rPr>
          <w:color w:val="FF0000"/>
          <w:rtl w:val="1"/>
        </w:rPr>
        <w:t xml:space="preserve">وصلَّى بي العِشاءَ حين غابَ الشَّفَق،  </w:t>
      </w:r>
      <w:r>
        <w:rPr>
          <w:color w:val="FF0000"/>
          <w:rtl w:val="1"/>
        </w:rPr>
        <w:t xml:space="preserve">وصلَّى بي الفَجرَ حينَ حَرُمَ الطَّعاُم والشَّرابُ على الصائِم،  </w:t>
      </w:r>
      <w:r>
        <w:rPr>
          <w:color w:val="FF0000"/>
          <w:rtl w:val="1"/>
        </w:rPr>
        <w:t xml:space="preserve">فلمّا كانَ الغَدُ صلَّى بي الظُّهرَ حينَ كانَ ظِلُّه مِثلَه،  </w:t>
      </w:r>
      <w:r>
        <w:rPr>
          <w:color w:val="FF0000"/>
          <w:rtl w:val="1"/>
        </w:rPr>
        <w:t xml:space="preserve">وصلَّى بي العَصرَ حينَ كانَ ظِلُّه مِثلَيهِ،  </w:t>
      </w:r>
      <w:r>
        <w:rPr>
          <w:color w:val="FF0000"/>
          <w:rtl w:val="1"/>
        </w:rPr>
        <w:t xml:space="preserve">وصلَّى بي المَغرِبَ حينَ أفطَرَ الصائمُ،  </w:t>
      </w:r>
      <w:r>
        <w:rPr>
          <w:color w:val="FF0000"/>
          <w:rtl w:val="1"/>
        </w:rPr>
        <w:t xml:space="preserve">وصلَّى بي العِشاءَ إلى ثُلُثِ اللَّيلِ،  </w:t>
      </w:r>
      <w:r>
        <w:rPr>
          <w:color w:val="FF0000"/>
          <w:rtl w:val="1"/>
        </w:rPr>
        <w:t xml:space="preserve">وصلَّى بي الفَجرَ فأسفَرَ،  </w:t>
      </w:r>
      <w:r>
        <w:rPr>
          <w:color w:val="FF0000"/>
          <w:rtl w:val="1"/>
        </w:rPr>
        <w:t xml:space="preserve">ثمَّ التَفَتَ إليَّ فقال: يا محمَّد، هذا وقتُ الأنبياءِ مِن قَبلِكَ،  </w:t>
      </w:r>
      <w:r>
        <w:rPr>
          <w:color w:val="FF0000"/>
          <w:rtl w:val="1"/>
        </w:rPr>
        <w:t xml:space="preserve">والوقتُ ما بينَ هذَينِ الوَقتَين».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المواقيت عامة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الفجر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الظهر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المغرب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العصر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العشاء - بدايه اوقات الصلاه المفروضه ونهايتها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