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نوم الجنب ،واستحباب الوضوء له،وغسل الفرج-كتاب الحيض-صحيح مسلم — رقم الحديث: 308 — الرقم الفرعي: 99 — الرقم الأصلي: 308</w:t>
        <w:br/>
      </w:r>
      <w:r>
        <w:rPr>
          <w:rtl w:val="1"/>
        </w:rPr>
        <w:t xml:space="preserve"> وحدثنا أبو بكر بن أبي شيبة حدثنا حفص بن غِياث ح وحدثنا أبو كُريب أخبرنا ابن أبي زائدة ح وحدثني عمرو النّاقد و ابن نمير قالا:حدثنا مروان بن معاوية الفَزاريّ كلهم عن عاصم عن أبي المتوكّل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«إذا أَتى أَحدُكم أَهلَه، ثم أراد أن يَعودَ، فليتوضّأ».  </w:t>
      </w:r>
      <w:r>
        <w:rPr>
          <w:color w:val="FF0000"/>
          <w:rtl w:val="1"/>
        </w:rPr>
        <w:t xml:space="preserve">زاد أبو بكر في حديثه: «بينَهما وُضوءًا»،  </w:t>
      </w:r>
      <w:r>
        <w:rPr>
          <w:color w:val="FF0000"/>
          <w:rtl w:val="1"/>
        </w:rPr>
        <w:t xml:space="preserve">وقال: «ثم أرادَ أن يُعاوِد». </w:t>
      </w:r>
    </w:p>
    <w:p>
      <w:pPr>
        <w:bidi w:val="1"/>
        <w:jc w:val="start"/>
      </w:pPr>
      <w:r>
        <w:rPr>
          <w:rtl w:val="1"/>
        </w:rPr>
        <w:t>الشرح: الدلالة: العودة إلى الجماع - ما يباح للجنب</w:t>
      </w:r>
    </w:p>
    <w:p>
      <w:pPr>
        <w:bidi w:val="1"/>
        <w:jc w:val="start"/>
      </w:pPr>
      <w:r>
        <w:rPr>
          <w:rtl w:val="1"/>
        </w:rPr>
        <w:t>الشرح: الدلالة: الوضوء للعودة للجماع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العود إلى الجماع - الجماع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