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45 — الرقم الفرعي: 99 — الرقم الأصلي: 45 — ج: 1 — ص: 8</w:t>
        <w:br/>
      </w:r>
      <w:r>
        <w:rPr>
          <w:rtl w:val="1"/>
        </w:rPr>
        <w:t xml:space="preserve"> حدثنا محمد بن مُيّسَّر، أبو سعد الصاغانيّ المكفوف حدثنا هشام بن عروة عن أبيه عن عائشة</w:t>
        <w:br/>
      </w:r>
      <w:r>
        <w:rPr>
          <w:color w:val="000000"/>
          <w:rtl w:val="1"/>
        </w:rPr>
        <w:t xml:space="preserve">قَالَتْ: إِنَّ أَبا بَكْرٍ لَمَّا حَضَرَتْهُ الوَفَاةُ، قَالَ: أَيُّ يَوْمٍ هَذَا؟ قَالُوا: يَوْمُ الِاثْنَيْنِ. قَالَ: فَإِنْ مِتُّ مِنْ لَيْلَتِي، فَلا تَنْتَظِرُوا بِي الْغَدَ، فَإِنَّ أَحَبَّ الأيّامِ وَاللَّيَالِي إِلَيَّ أَقْرَبُهَا مِنْ رَسُولِ اللهِ ﷺ.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