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هدم الكعبة-كتاب الحجّ-صحيح البخاري — رقم الحديث: 1595 — الرقم الفرعي: 99 — الرقم الأصلي: 1595</w:t>
        <w:br/>
      </w:r>
      <w:r>
        <w:rPr>
          <w:rtl w:val="1"/>
        </w:rPr>
        <w:t xml:space="preserve"> حدثنا عمرو بن عليّ حدثنا يحيى بن سعيد حدثنا عبيدالله بن الأخنس حدثني ابن أبي مليكة عن ابن عباس رضي الله عنهما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«كأنّي به أسوَدَ أفحَجَ يَقْلَعُها حَجَرًا حَجَرًا». </w:t>
      </w:r>
    </w:p>
    <w:p>
      <w:pPr>
        <w:bidi w:val="1"/>
        <w:jc w:val="start"/>
      </w:pPr>
      <w:r>
        <w:rPr>
          <w:rtl w:val="1"/>
        </w:rPr>
        <w:t>الشرح: الدلالة: الفصل السابع: هدم الكعبة وخراب المدينة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