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الغسل يوم الجمعة-كتاب الطهارة-سنن أبي داود — رقم الحديث: 345 — الرقم الفرعي: 99 — الرقم الأصلي: 345</w:t>
        <w:br/>
      </w:r>
      <w:r>
        <w:rPr>
          <w:rtl w:val="1"/>
        </w:rPr>
        <w:t xml:space="preserve"> حدثنا محمد بن حاتم الجرجرائيّ حِبّي ثنا ابن المبارك عن الأوزاعيّ حدثني حسان بن عطيّة حدثني أبو الأشعث الصنعانيّ حدثني أوس بن أوس الثقفيّ سمعت رسول الله صلى الله عليه وسلم</w:t>
        <w:br/>
      </w:r>
      <w:r>
        <w:rPr>
          <w:color w:val="FF0000"/>
          <w:rtl w:val="1"/>
        </w:rPr>
        <w:t xml:space="preserve">يقول: «مَن غَسَلَ يومَ الجُمُعةِ واغتَسَل،  </w:t>
      </w:r>
      <w:r>
        <w:rPr>
          <w:color w:val="FF0000"/>
          <w:rtl w:val="1"/>
        </w:rPr>
        <w:t xml:space="preserve">ثمَّ بكَّرَ وابتَكَر،  </w:t>
      </w:r>
      <w:r>
        <w:rPr>
          <w:color w:val="FF0000"/>
          <w:rtl w:val="1"/>
        </w:rPr>
        <w:t xml:space="preserve">ومشى ولم يَركَب،  </w:t>
      </w:r>
      <w:r>
        <w:rPr>
          <w:color w:val="FF0000"/>
          <w:rtl w:val="1"/>
        </w:rPr>
        <w:t xml:space="preserve">ودنا مِن الإمامِ فاستَمعَ ولم يَلْغُ،  </w:t>
      </w:r>
      <w:r>
        <w:rPr>
          <w:color w:val="FF0000"/>
          <w:rtl w:val="1"/>
        </w:rPr>
        <w:t xml:space="preserve">كانَ له بكُلِّ خُطوةٍ عَمَلُ سَنةٍ؛ أجرُ صِيامِها وقِيامِها». </w:t>
      </w:r>
    </w:p>
    <w:p>
      <w:pPr>
        <w:bidi w:val="1"/>
        <w:jc w:val="start"/>
      </w:pPr>
      <w:r>
        <w:rPr>
          <w:rtl w:val="1"/>
        </w:rPr>
        <w:t>درجة الحديث: صحيح /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الموعظة الحسنة (الترغيب والترهيب)</w:t>
      </w:r>
    </w:p>
    <w:p>
      <w:pPr>
        <w:bidi w:val="1"/>
        <w:jc w:val="start"/>
      </w:pPr>
      <w:r>
        <w:rPr>
          <w:rtl w:val="1"/>
        </w:rPr>
        <w:t>الشرح: الدلالة: الغسل للجمعة - المأمور به في يوم الجمعة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الإيمانية - الأهداف</w:t>
      </w:r>
    </w:p>
    <w:p>
      <w:pPr>
        <w:bidi w:val="1"/>
        <w:jc w:val="start"/>
      </w:pPr>
      <w:r>
        <w:rPr>
          <w:rtl w:val="1"/>
        </w:rPr>
        <w:t>الشرح: الدلالة: التربية الخلقية - الأهداف</w:t>
      </w:r>
    </w:p>
    <w:p>
      <w:pPr>
        <w:bidi w:val="1"/>
        <w:jc w:val="start"/>
      </w:pPr>
      <w:r>
        <w:rPr>
          <w:rtl w:val="1"/>
        </w:rPr>
        <w:t>الشرح: الدلالة: التربية الجمالية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التبكير إلى صلاة الجمعة - وقت صلاة الجمعة وأذانها</w:t>
      </w:r>
    </w:p>
    <w:p>
      <w:pPr>
        <w:bidi w:val="1"/>
        <w:jc w:val="start"/>
      </w:pPr>
      <w:r>
        <w:rPr>
          <w:rtl w:val="1"/>
        </w:rPr>
        <w:t>الشرح: الدلالة: الأمر بالغسل - الجمعة - أسباب الغسل</w:t>
      </w:r>
    </w:p>
    <w:p>
      <w:pPr>
        <w:bidi w:val="1"/>
        <w:jc w:val="start"/>
      </w:pPr>
      <w:r>
        <w:rPr>
          <w:rtl w:val="1"/>
        </w:rPr>
        <w:t>الشرح: الدلالة: فضل يوم الجمعة وصلاتها - مشروعية صلاة الجمعة وفضلها</w:t>
      </w:r>
    </w:p>
    <w:p>
      <w:pPr>
        <w:bidi w:val="1"/>
        <w:jc w:val="start"/>
      </w:pPr>
      <w:r>
        <w:rPr>
          <w:rtl w:val="1"/>
        </w:rPr>
        <w:t>الشرح: الدلالة: آداب متعلقة بخطبة الجمعة وصلاتها - صلاة الجمعة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