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الرمي بعد زوال الشمس-كتاب الحجّ-سنن الترمذي — رقم الحديث: 898 — الرقم الفرعي: 99 — الرقم الأصلي: 898</w:t>
        <w:br/>
      </w:r>
      <w:r>
        <w:rPr>
          <w:rtl w:val="1"/>
        </w:rPr>
        <w:t xml:space="preserve"> حدثنا أحمد بن عبدة الضبيّ البصريّ حدثنا زياد بن عبد الله عن الحجّاج عن الحكم عن مِقْسَم عن ابن عباس</w:t>
        <w:br/>
      </w:r>
      <w:r>
        <w:rPr>
          <w:color w:val="FF0000"/>
          <w:rtl w:val="1"/>
        </w:rPr>
        <w:t xml:space="preserve">قال: كان رَسولُ اللَّهِ ﷺ يَرمِي الجِمارَ إِذا زالَتِ الشَّمسُ. </w:t>
      </w:r>
      <w:r>
        <w:rPr>
          <w:color w:val="000000"/>
          <w:rtl w:val="1"/>
        </w:rPr>
        <w:t xml:space="preserve">هذا حَديثٌ حَسَنٌ.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وقت رمي الجمار - رمي الجمار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