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الرقى-باب في الرجل يتداوى-سنن أبي داود — رقم الحديث: 3888 — الرقم الفرعي: 99 — الرقم الأصلي: 3888</w:t>
        <w:br/>
      </w:r>
      <w:r>
        <w:rPr>
          <w:rtl w:val="1"/>
        </w:rPr>
        <w:t xml:space="preserve"> حدثنا مُسَدّد ثنا عبد الواحد بن زياد ثنا عثمان بن حكيم حدثتني جدتي الرباب</w:t>
        <w:br/>
      </w:r>
      <w:r>
        <w:rPr>
          <w:color w:val="000000"/>
          <w:rtl w:val="1"/>
        </w:rPr>
        <w:t xml:space="preserve">قالت: </w:t>
      </w:r>
      <w:r>
        <w:rPr>
          <w:color w:val="000000"/>
          <w:rtl w:val="1"/>
        </w:rPr>
        <w:t xml:space="preserve">سمعتُ سهلَ بنَ حُنَيفِ يقول:  </w:t>
      </w:r>
      <w:r>
        <w:rPr>
          <w:color w:val="000000"/>
          <w:rtl w:val="1"/>
        </w:rPr>
        <w:t xml:space="preserve">مَرَرْنا بسَيلٍ، فدَخلتُ فاغتَسلتُ فيه، فخرَجتُ محمُومًا،  </w:t>
      </w:r>
      <w:r>
        <w:rPr>
          <w:color w:val="000000"/>
          <w:rtl w:val="1"/>
        </w:rPr>
        <w:t xml:space="preserve">فنُمِيَ ذلك إلى رسولِ الله ﷺ،  </w:t>
      </w:r>
      <w:r>
        <w:rPr>
          <w:color w:val="FF0000"/>
          <w:rtl w:val="1"/>
        </w:rPr>
        <w:t xml:space="preserve">فقال: «مُرُوا أبا ثابتٍ يتعوَّذُ»  </w:t>
      </w:r>
      <w:r>
        <w:rPr>
          <w:color w:val="FF0000"/>
          <w:rtl w:val="1"/>
        </w:rPr>
        <w:t xml:space="preserve">قالت: فقلتُ: يا سيِّدي والرُّقَى صالِحة؟!  </w:t>
      </w:r>
      <w:r>
        <w:rPr>
          <w:color w:val="FF0000"/>
          <w:rtl w:val="1"/>
        </w:rPr>
        <w:t xml:space="preserve">فقال: «لا رُقيةَ إلّا في نَفْسٍ أَو حُمَةٍ أو لَدْغَة». </w:t>
      </w:r>
      <w:r>
        <w:rPr>
          <w:color w:val="000000"/>
          <w:rtl w:val="1"/>
        </w:rPr>
        <w:t xml:space="preserve">قال أَبو داود: الحُمَة مِن الحيّاتِ وما يَلسَعُ. </w:t>
      </w:r>
    </w:p>
    <w:p>
      <w:pPr>
        <w:bidi w:val="1"/>
        <w:jc w:val="start"/>
      </w:pPr>
      <w:r>
        <w:rPr>
          <w:rtl w:val="1"/>
        </w:rPr>
        <w:t>درجة الحديث: المرفوع منه صحيح لغيره</w:t>
      </w:r>
    </w:p>
    <w:p>
      <w:pPr>
        <w:bidi w:val="1"/>
        <w:jc w:val="start"/>
      </w:pPr>
      <w:r>
        <w:rPr>
          <w:rtl w:val="1"/>
        </w:rPr>
        <w:t>الشرح: الدلالة: الرقية بقراءة المعوذات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الاستعاذة بالله من الشيطان - كيفية التصرف بعد الرؤيا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الحمة (السم) - الأمراض الباطنية</w:t>
      </w:r>
    </w:p>
    <w:p>
      <w:pPr>
        <w:bidi w:val="1"/>
        <w:jc w:val="start"/>
      </w:pPr>
      <w:r>
        <w:rPr>
          <w:rtl w:val="1"/>
        </w:rPr>
        <w:t>الشرح: الدلالة: الوقاية من الحسد والعين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