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جاء في الرقى-باب في الرجل يتداوى-سنن أبي داود — رقم الحديث: 3885 — الرقم الفرعي: 99 — الرقم الأصلي: 3885</w:t>
        <w:br/>
      </w:r>
      <w:r>
        <w:rPr>
          <w:rtl w:val="1"/>
        </w:rPr>
        <w:t xml:space="preserve"> حدثنا أحمد بن صالح و ابن السرح قال أحمد ثنا ابن وهب وقال ابن السرح أخبرنا ابن وهب ثنا داود بن عبد الرحمن عن عمرو بن يحيى عن يوسف بن محمد وقال ابن صالح:محمد بن يوسف بن ثابت بن قيس بن شماس عن أبيه عن جده</w:t>
        <w:br/>
      </w:r>
      <w:r>
        <w:rPr>
          <w:color w:val="FF0000"/>
          <w:rtl w:val="1"/>
        </w:rPr>
        <w:t xml:space="preserve">عن رسولِ الله ﷺ أنه دخلَ على ثابتِ بنِ قَيسٍ، وهو مَريض،  </w:t>
      </w:r>
      <w:r>
        <w:rPr>
          <w:color w:val="FF0000"/>
          <w:rtl w:val="1"/>
        </w:rPr>
        <w:t xml:space="preserve">فقالَ: «اكْشِفِ البَاسَ ربَّ النَّاسِ، عن ثابتِ بنِ قَيسِ بنِ شمَّاس»،  </w:t>
      </w:r>
      <w:r>
        <w:rPr>
          <w:color w:val="000000"/>
          <w:rtl w:val="1"/>
        </w:rPr>
        <w:t xml:space="preserve">ثم أَخذَ تُرابًا من بُطحانَ فجعلَه في قَدَحٍ، ثم نَفَثَ عليه بماءِ، ثم صبَّه عليهِ.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الرقية بأدعية مأثورة - العلاج بالقرآن والرقى والأدعية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قيمة المواساة - القيم الاجتماعية </w:t>
      </w:r>
    </w:p>
    <w:p>
      <w:pPr>
        <w:bidi w:val="1"/>
        <w:jc w:val="start"/>
      </w:pPr>
      <w:r>
        <w:rPr>
          <w:rtl w:val="1"/>
        </w:rPr>
        <w:t>الشرح: الدلالة: الأذكار والأدعية للمريض والمحتضر وبعد موته- الأذكار والأدعية للعلاقات الاجتماعية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