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القرن الثالث-كتاب الفتن-سنن الترمذي — رقم الحديث: 2221 — الرقم الفرعي: 1 — الرقم الأصلي: 2222</w:t>
        <w:br/>
      </w:r>
      <w:r>
        <w:rPr>
          <w:rtl w:val="1"/>
        </w:rPr>
        <w:t xml:space="preserve"> حدثنا واصل بن عبد الأعلى أخبرنا محمد بن الفُضيل عن الأعمش عن عليّ بن مُدرك عن هلال بن يسَاف عن عِمران بن حصين قال:سمعت رسول الله صلى الله عليه وسلم</w:t>
        <w:br/>
      </w:r>
      <w:r>
        <w:rPr>
          <w:color w:val="000000"/>
          <w:rtl w:val="1"/>
        </w:rPr>
        <w:t xml:space="preserve">يقول:  </w:t>
      </w:r>
      <w:r>
        <w:rPr>
          <w:color w:val="000000"/>
          <w:rtl w:val="1"/>
        </w:rPr>
        <w:t xml:space="preserve">«خيرُ النّاسِ قَرْني، ثم الذينَ يَلُونَهم، ثم الذينَ يَلُونَهم، ثم الذينَ يَلُونَهم،  </w:t>
      </w:r>
      <w:r>
        <w:rPr>
          <w:color w:val="FF0000"/>
          <w:rtl w:val="1"/>
        </w:rPr>
        <w:t xml:space="preserve">ثم يأتي مِن بَعدِهم قومٌ يَتَسَمَّنون، ويُحبُّون السِّمَن، يُعطُونَ الشَّهادةَ قبلَ أن يُسألُوها». </w:t>
      </w:r>
      <w:r>
        <w:rPr>
          <w:color w:val="000000"/>
          <w:rtl w:val="1"/>
        </w:rPr>
        <w:t xml:space="preserve">هكذا رَوى محمدُ بن فُضَيل، هذا الحديثَ عن الأعمش، عن عليّ بنِ مُدْرِك، عن هلال بن يِسَاف.  </w:t>
      </w:r>
      <w:r>
        <w:rPr>
          <w:color w:val="000000"/>
          <w:rtl w:val="1"/>
        </w:rPr>
        <w:t xml:space="preserve">ورَوى غيرُ واحدٍ من الحفّاظ عن الأعمش، عن هلال بن يِسَاف، ولم يَذكُروا فيه عليَّ بنَ مدُرِك.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المبحث الثالث: ما يقع من فتنة النساء والفواحش ومنكرات الطعام والشراب واللباس والزينة - الفتن المتعلقة بالأخلاق والسلوك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