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خبر مكة-كتاب الخراج والإمارة والفيء-سنن أبي داود — رقم الحديث: 3024 — الرقم الفرعي: 99 — الرقم الأصلي: 3024</w:t>
        <w:br/>
      </w:r>
      <w:r>
        <w:rPr>
          <w:rtl w:val="1"/>
        </w:rPr>
        <w:t xml:space="preserve"> حدثنا مسلم بن إبراهيم ثنا سلاّم بن مسكين ثنا ثابت البُنانيّ عن عبد الله بن رباح الأنصاريّ عن أبي هريرة</w:t>
        <w:br/>
      </w:r>
      <w:r>
        <w:rPr>
          <w:color w:val="FF0000"/>
          <w:rtl w:val="1"/>
        </w:rPr>
        <w:t xml:space="preserve">أنَّ النّبيَّ ﷺ لما دَخَل مَكَّة سَرَّح الزُّبيرَ بنَ العوَّام، وأبا عُبَيدةَ بن الجرّاح، وخالد بنَ الوليد، على الخَيل،  </w:t>
      </w:r>
      <w:r>
        <w:rPr>
          <w:color w:val="000000"/>
          <w:rtl w:val="1"/>
        </w:rPr>
        <w:t xml:space="preserve">وقال: «يا أبا هُريرة، اهتِف بالأَنصار»،  </w:t>
      </w:r>
      <w:r>
        <w:rPr>
          <w:color w:val="FF0000"/>
          <w:rtl w:val="1"/>
        </w:rPr>
        <w:t xml:space="preserve">قال: اسلُكُوا هذا الطَّريق، فلا يُشرِفَنَّ لكم أَحَدٌ إلَّا أَنَمْتُموه،  </w:t>
      </w:r>
      <w:r>
        <w:rPr>
          <w:color w:val="FF0000"/>
          <w:rtl w:val="1"/>
        </w:rPr>
        <w:t xml:space="preserve">فنادى مُنادٍ: لا قُريشَ بعدَ اليَوم،  </w:t>
      </w:r>
      <w:r>
        <w:rPr>
          <w:color w:val="FF0000"/>
          <w:rtl w:val="1"/>
        </w:rPr>
        <w:t xml:space="preserve">فقالَ رسولُ الله ﷺ : «مَن دَخَلَ دارًا فهو آمِن، ومَن أَلقى السِّلاحَ فهو آمِن»  </w:t>
      </w:r>
      <w:r>
        <w:rPr>
          <w:color w:val="FF0000"/>
          <w:rtl w:val="1"/>
        </w:rPr>
        <w:t xml:space="preserve">وعَمَدَ صَنَادِيدُ قُريشٍ فدَخَلوا الكعبةَ، فغَصَّ بهم،  </w:t>
      </w:r>
      <w:r>
        <w:rPr>
          <w:color w:val="000000"/>
          <w:rtl w:val="1"/>
        </w:rPr>
        <w:t xml:space="preserve">وطافَ النبيُّ ﷺ وصلَّى خَلْفَ المَقامِ،  </w:t>
      </w:r>
      <w:r>
        <w:rPr>
          <w:color w:val="000000"/>
          <w:rtl w:val="1"/>
        </w:rPr>
        <w:t xml:space="preserve">ثمّ أَخَذَ بجَنَبتَي الباب، فخرجوا فبايَعوا النّبيَّ ﷺ على الإسلام. </w:t>
      </w:r>
      <w:r>
        <w:rPr>
          <w:color w:val="000000"/>
          <w:rtl w:val="1"/>
        </w:rPr>
        <w:t xml:space="preserve"> قال أبو داود: سمعتُ أحمد بنَ حنبل سألَه رجلٌ قال: مكّة عَنْوَة هي؟ قال: إِيش يَضرُّك ما كانت؟! قال: فصُلْحٌ؟ قال: لا.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دخول مكة - فتح مكة وما رافقها من أحداث</w:t>
      </w:r>
    </w:p>
    <w:p>
      <w:pPr>
        <w:bidi w:val="1"/>
        <w:jc w:val="start"/>
      </w:pPr>
      <w:r>
        <w:rPr>
          <w:rtl w:val="1"/>
        </w:rPr>
        <w:t xml:space="preserve">الشرح: الدلالة: العفو العام - فتح مكة وما رافقها من أحداث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