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المسافر يصلي وهو يشك في الوقت-كتاب الصلاة-سنن أبي داود — رقم الحديث: 1205 — الرقم الفرعي: 99 — الرقم الأصلي: 1205</w:t>
        <w:br/>
      </w:r>
      <w:r>
        <w:rPr>
          <w:rtl w:val="1"/>
        </w:rPr>
        <w:t xml:space="preserve"> حدثنا مُسدد ثنا يحيى عن شعبة حدثني حمزة العائذيّ ملاحظة رجُل مِن بني ضبّة قال:سمعت أنس بن مالك</w:t>
        <w:br/>
      </w:r>
      <w:r>
        <w:rPr>
          <w:color w:val="FF0000"/>
          <w:rtl w:val="1"/>
        </w:rPr>
        <w:t xml:space="preserve">يقول: كانَ رسولُ الله ﷺ إذا نَزَلَ مَنزِلًا لم يَرتَحِل حتى يُصلِّي الظُّهرَ،  </w:t>
      </w:r>
      <w:r>
        <w:rPr>
          <w:color w:val="FF0000"/>
          <w:rtl w:val="1"/>
        </w:rPr>
        <w:t xml:space="preserve">فقالَ له رجل: وإن كان بنِصْفِ النّهار؟ قال: وإن كان بنِصْفِ النّهار.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تعجيل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