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الوضوء من الدم-كتاب الطهارة-سنن أبي داود — رقم الحديث: 198 — الرقم الفرعي: 99 — الرقم الأصلي: 198</w:t>
        <w:br/>
      </w:r>
      <w:r>
        <w:rPr>
          <w:rtl w:val="1"/>
        </w:rPr>
        <w:t xml:space="preserve"> حدثنا أبو توبة الربيع بن نافع ثنا ابن المبارك عن محمد بن إسحاق حدثني صدقة بن يسار عن عقيل بن جابر عن جابر</w:t>
        <w:br/>
      </w:r>
      <w:r>
        <w:rPr>
          <w:color w:val="FF0000"/>
          <w:rtl w:val="1"/>
        </w:rPr>
        <w:t xml:space="preserve">قال: خَرَجْنا مَعَ رسولِ الله ﷺ - يعني في غَزوةِ ذاتِ الرِّقاع -  </w:t>
      </w:r>
      <w:r>
        <w:rPr>
          <w:color w:val="FF0000"/>
          <w:rtl w:val="1"/>
        </w:rPr>
        <w:t xml:space="preserve">فأصابَ رجلٌ امرأةَ رجلٍ من المُشركينَ،  </w:t>
      </w:r>
      <w:r>
        <w:rPr>
          <w:color w:val="FF0000"/>
          <w:rtl w:val="1"/>
        </w:rPr>
        <w:t xml:space="preserve">فحَلَفَ أن لا أنتهي حتَّى أُهريقَ دمًا في أصحابِ محمَّد، فخرجَ يَتبَعُ أثَرَ النبيِّ ﷺ،  </w:t>
      </w:r>
      <w:r>
        <w:rPr>
          <w:color w:val="FF0000"/>
          <w:rtl w:val="1"/>
        </w:rPr>
        <w:t xml:space="preserve">فنزلَ النبيُّ ﷺ مَنزِلًا، فقال: «مَن رجلٌ يكلؤُنا؟»  </w:t>
      </w:r>
      <w:r>
        <w:rPr>
          <w:color w:val="FF0000"/>
          <w:rtl w:val="1"/>
        </w:rPr>
        <w:t xml:space="preserve">فانتَدَبَ رجلٌ من المُهاجِرينَ ورجلٌ من الأنصارِ، فقال: «كُونا بفمِ الشِّعْب»،  </w:t>
      </w:r>
      <w:r>
        <w:rPr>
          <w:color w:val="FF0000"/>
          <w:rtl w:val="1"/>
        </w:rPr>
        <w:t xml:space="preserve">قال: فلمَّا خَرَجَ الرَّجُلانِ إلى فمِ الشِّعب واضطجَعَ المُهاجريُّ، وقامَ الأنصاريُّ يُصلِّي،  </w:t>
      </w:r>
      <w:r>
        <w:rPr>
          <w:color w:val="FF0000"/>
          <w:rtl w:val="1"/>
        </w:rPr>
        <w:t xml:space="preserve">وأتى الرَّجُلُ، فلمَّا رأى شَخصَه عرفَ أنَّه رَبيئةٌ للقوم،  </w:t>
      </w:r>
      <w:r>
        <w:rPr>
          <w:color w:val="FF0000"/>
          <w:rtl w:val="1"/>
        </w:rPr>
        <w:t xml:space="preserve">فرَماهُ بسَهمٍ فوَضَعه فيه، فنَزَعَه، حتَّى رماه بثلاثةِ أسهُمٍ، ثمَّ ركعَ وسجدَ،  </w:t>
      </w:r>
      <w:r>
        <w:rPr>
          <w:color w:val="FF0000"/>
          <w:rtl w:val="1"/>
        </w:rPr>
        <w:t xml:space="preserve">ثمَّ أنبهَ صاحِبَه، فلمَّا عرفَ أنَّهم قد نَذِرُوا به هَرَبَ،  </w:t>
      </w:r>
      <w:r>
        <w:rPr>
          <w:color w:val="FF0000"/>
          <w:rtl w:val="1"/>
        </w:rPr>
        <w:t xml:space="preserve">ولمَّا رأى المُهاجريُّ ما بالأنصاريِّ من الدَماء، قال: سُبحانَ الله، ألا أنبَهتَني أوَّل ما رمَى؟  </w:t>
      </w:r>
      <w:r>
        <w:rPr>
          <w:color w:val="FF0000"/>
          <w:rtl w:val="1"/>
        </w:rPr>
        <w:t xml:space="preserve">قال: كنتُ في سُورةٍ أقرؤها، فلم أُحِبَّ أن أقطَعَها.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التعاون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الأمن والمكتومية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اليقظة (وأثر قيام الليل فيها )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القيام في السفر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اختيار الأكفياء للوظائف العامة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حماية رئيس الدولة وحراسته - حقوق رئيس الدولة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قيمة تعظيم شعائر 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فضل الحراسة والسهر في سبيل الله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