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11138 — الرقم الفرعي: 99 — الرقم الأصلي: 11138 — ج: 3 — ص: 18</w:t>
        <w:br/>
      </w:r>
      <w:r>
        <w:rPr>
          <w:rtl w:val="1"/>
        </w:rPr>
        <w:t xml:space="preserve"> حدثنا عبد الله حدثني أبي ثنا أبو عامر ثنا زهير عن عبد الله بن محمد عن حمزة بن أبي سعيد الخدريّ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سمِعتُ النّبيَّ ﷺ يقولُ على هذا المِنبر:  </w:t>
      </w:r>
      <w:r>
        <w:rPr>
          <w:color w:val="FF0000"/>
          <w:rtl w:val="1"/>
        </w:rPr>
        <w:t xml:space="preserve">«ما بالُ رجالٍ يقولون: إنَّ رَحِمَ رسولِ الله ﷺ لا تَنفعُ قومَه، بلى واللهِ إنَّ رَحِمي موصولةٌ في الدُّنيا والآخِرة،  </w:t>
      </w:r>
      <w:r>
        <w:rPr>
          <w:color w:val="FF0000"/>
          <w:rtl w:val="1"/>
        </w:rPr>
        <w:t xml:space="preserve">وإنِّي أَيُّها النّاسُ فَرَطٌ لكُم على الحَوضِ،  </w:t>
      </w:r>
      <w:r>
        <w:rPr>
          <w:color w:val="FF0000"/>
          <w:rtl w:val="1"/>
        </w:rPr>
        <w:t xml:space="preserve">فإذا جِئتُم، قال رجلٌ: يا رسولَ الله، أنا فلانُ بنُ فلان، وقال أَخوه: أنا فلانُ بن فلان،  </w:t>
      </w:r>
      <w:r>
        <w:rPr>
          <w:color w:val="FF0000"/>
          <w:rtl w:val="1"/>
        </w:rPr>
        <w:t xml:space="preserve">قال لهم: أمَّا النَّسَبُ فقد عرَفتُه، ولكنَّكُم أَحدَثتُم بَعدِي وارتَدَدْتُم القَهْقَرى».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بحياة البرزخ والقيامة والجنة والنار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لآل بيته ودعوته الناس إلى حفظهم ومحبتهم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