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الغيبة والرفث للصائم-كتاب الصيام-سنن ابن ماجة — رقم الحديث: 1690 — الرقم الفرعي: 99 — الرقم الأصلي: 1690</w:t>
        <w:br/>
      </w:r>
      <w:r>
        <w:rPr>
          <w:rtl w:val="1"/>
        </w:rPr>
        <w:t xml:space="preserve"> حدثنا عمرو بن رافع ثنا عبد الله بن المبارك عن أسامة بن زيد عن سعيد المُقبَريّ عن أبي هريرة قال:قال رسول الله صلى الله عليه وسلم</w:t>
        <w:br/>
      </w:r>
      <w:r>
        <w:rPr>
          <w:color w:val="FF0000"/>
          <w:rtl w:val="1"/>
        </w:rPr>
        <w:t xml:space="preserve">«رُبَّ صَائِمٍ لَيسَ لَهُ مِن صِيَامِه إلّا الجُوعُ، ورُبَّ قَائِمٍ لَيسَ له مِن قِيَامِه إلّا السَّهَر».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اجتناب الرفث والصخب والغيبة وقول الزور - ما يستحب للصائم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