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صام أياماً من رمضان ثم سافر-كتاب الصوم-صحيح البخاري — رقم الحديث: 1944 — الرقم الفرعي: 99 — الرقم الأصلي: 1944</w:t>
        <w:br/>
      </w:r>
      <w:r>
        <w:rPr>
          <w:rtl w:val="1"/>
        </w:rPr>
        <w:t xml:space="preserve"> حدثنا عبد الله بن يوسف أخبرنا مالك عن ابن شهاب عن عبيد الله بن عبد الله بن عتبة عن ابن عباس رضي الله عنهما</w:t>
        <w:br/>
      </w:r>
      <w:r>
        <w:rPr>
          <w:color w:val="FF0000"/>
          <w:rtl w:val="1"/>
        </w:rPr>
        <w:t xml:space="preserve">أنَّ رسولَ الله ﷺ خَرَجَ إلى مكَّةَ في رمضانَ فصامَ، حتَّى بَلَغَ الكَدِيدَ أفطَرَ، فأفطَرَ النّاسُ.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