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  <w:bidi w:val="1"/>
        <w:jc w:val="start"/>
      </w:pPr>
      <w:r>
        <w:rPr>
          <w:rtl w:val="1"/>
        </w:rPr>
        <w:t>مختارات من مكتبة الحديث</w:t>
      </w:r>
    </w:p>
    <w:p>
      <w:pPr>
        <w:bidi w:val="1"/>
        <w:jc w:val="start"/>
      </w:pPr>
      <w:r>
        <w:rPr>
          <w:rtl w:val="1"/>
        </w:rPr>
        <w:t>تقرير يضم 1 حديثًا من المحتوى المنشور. الشواهد المميزة مرتبطة بالدلالة المختارة أو بالتصنيفات المنشورة عند عدم اختيار دلالة. الأحكام من السجلات الأصلية.</w:t>
      </w:r>
    </w:p>
    <w:p>
      <w:pPr>
        <w:bidi w:val="1"/>
        <w:jc w:val="start"/>
      </w:pPr>
      <w:r>
        <w:rPr>
          <w:rtl w:val="1"/>
        </w:rPr>
        <w:fldChar w:fldCharType="begin"/>
        <w:instrText xml:space="preserve">TOC \o "1-9" \h \z \u</w:instrText>
        <w:fldChar w:fldCharType="end"/>
      </w:r>
    </w:p>
    <w:p>
      <w:pPr>
        <w:pStyle w:val="Heading1"/>
        <w:bidi w:val="1"/>
        <w:jc w:val="start"/>
      </w:pPr>
      <w:r>
        <w:rPr>
          <w:rtl w:val="1"/>
        </w:rPr>
        <w:t>الأحاديث المختارة</w:t>
      </w:r>
    </w:p>
    <w:p>
      <w:pPr>
        <w:bidi w:val="1"/>
        <w:jc w:val="start"/>
      </w:pPr>
      <w:r>
        <w:rPr>
          <w:b/>
          <w:rtl w:val="1"/>
        </w:rPr>
        <w:t>صحيح البخاري — باب قوله أيودّ أحدكم أن تكون له جنة-كتاب التفسير-صحيح البخاري — رقم الحديث: 4557 — الرقم الفرعي: 99 — الرقم الأصلي: 4557</w:t>
        <w:br/>
      </w:r>
      <w:r>
        <w:rPr>
          <w:rtl w:val="1"/>
        </w:rPr>
        <w:t xml:space="preserve"> حدثنا محمد بن يوسف عن سفيان عن ميسرة عن أبي حازم عن أبي هريرة،رضي الله عنه</w:t>
        <w:br/>
      </w:r>
      <w:r>
        <w:rPr>
          <w:color w:val="FF0000"/>
          <w:rtl w:val="1"/>
        </w:rPr>
        <w:t xml:space="preserve">{كُنْتُمْ خَيْرَ أُمَّةٍ أُخْرِجَتْ لِلنَّاسِ} [آل عمران: ١١٠]، قال: خيرَ النّاسِ للنّاسِ،  </w:t>
      </w:r>
      <w:r>
        <w:rPr>
          <w:color w:val="FF0000"/>
          <w:rtl w:val="1"/>
        </w:rPr>
        <w:t xml:space="preserve">تَأْتونَ بهم في السَّلاسلِ في أعناقِهم حتَّى يَدخُلوا في الإسلامِ. </w:t>
      </w:r>
    </w:p>
    <w:p>
      <w:pPr>
        <w:bidi w:val="1"/>
        <w:jc w:val="start"/>
      </w:pPr>
      <w:r>
        <w:rPr>
          <w:rtl w:val="1"/>
        </w:rPr>
        <w:t>الشرح: الدلالة: قيمة الأمر بالمعروف والنهي عن المنكر - القيم السياسية والإدارية</w:t>
      </w:r>
    </w:p>
    <w:p>
      <w:pPr>
        <w:bidi w:val="1"/>
        <w:jc w:val="start"/>
      </w:pPr>
      <w:r>
        <w:rPr>
          <w:rtl w:val="1"/>
        </w:rPr>
        <w:t>الشرح: الدلالة: دخول الجنة برحمة الله وتوفيقه - ثامنًا: موجبات دخول الجنة</w:t>
      </w:r>
    </w:p>
    <w:p>
      <w:pPr>
        <w:bidi w:val="1"/>
        <w:jc w:val="start"/>
      </w:pPr>
      <w:r>
        <w:rPr>
          <w:rtl w:val="1"/>
        </w:rPr>
        <w:t>الشرح: الدلالة: إحسان معاملة الأسرى - أخلاق القتال وآدابه</w:t>
      </w:r>
    </w:p>
    <w:p>
      <w:pPr>
        <w:bidi w:val="1"/>
        <w:jc w:val="start"/>
      </w:pPr>
      <w:r>
        <w:rPr>
          <w:rtl w:val="1"/>
        </w:rPr>
        <w:t>الشرح: الدلالة: مفهوم الأمة - الأمة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  <w:updateFields w:val="true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Arial" w:hAnsi="Arial"/>
      <w:sz w:val="24"/>
      <w:rFonts w:cs="Arial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