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المَذي-كتاب الطهارة-سنن أبي داود — رقم الحديث: 211 — الرقم الفرعي: 99 — الرقم الأصلي: 211</w:t>
        <w:br/>
      </w:r>
      <w:r>
        <w:rPr>
          <w:rtl w:val="1"/>
        </w:rPr>
        <w:t xml:space="preserve"> حدثنا إبراهيم بن موسى أخبرنا عبد الله بن وهب ثنا معاوية ملاحظة يعني ابن صالح عن العلاء بن الحرث عن حرام بن حَكيم عن عمّه عبد الله بن سعد الأنصاريّ</w:t>
        <w:br/>
      </w:r>
      <w:r>
        <w:rPr>
          <w:color w:val="000000"/>
          <w:rtl w:val="1"/>
        </w:rPr>
        <w:t xml:space="preserve">قال: سألتُ رسولَ الله ﷺ عمّا يُوجِبُ الغُسْلَ،  </w:t>
      </w:r>
      <w:r>
        <w:rPr>
          <w:color w:val="FF0000"/>
          <w:rtl w:val="1"/>
        </w:rPr>
        <w:t xml:space="preserve">وعن الماءِ يكونُ بعدَ الماء؟  </w:t>
      </w:r>
      <w:r>
        <w:rPr>
          <w:color w:val="FF0000"/>
          <w:rtl w:val="1"/>
        </w:rPr>
        <w:t xml:space="preserve">فقال: «ذاك المَذْيُ، وكلُّ فَحْلٍ يَمذي،  </w:t>
      </w:r>
      <w:r>
        <w:rPr>
          <w:color w:val="FF0000"/>
          <w:rtl w:val="1"/>
        </w:rPr>
        <w:t xml:space="preserve">فتَغسِلُ من ذلك فرْجَكَ وأُنثَييكَ،  </w:t>
      </w:r>
      <w:r>
        <w:rPr>
          <w:color w:val="FF0000"/>
          <w:rtl w:val="1"/>
        </w:rPr>
        <w:t xml:space="preserve">وتَوضّأُ وُضوءَكَ للصَّلاة.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المذي والودي - أنواع النجاسات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