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bidi w:val="1"/>
        <w:jc w:val="start"/>
      </w:pPr>
      <w:r>
        <w:rPr>
          <w:rtl w:val="1"/>
        </w:rPr>
        <w:t>مختارات من مكتبة الحديث</w:t>
      </w:r>
    </w:p>
    <w:p>
      <w:pPr>
        <w:bidi w:val="1"/>
        <w:jc w:val="start"/>
      </w:pPr>
      <w:r>
        <w:rPr>
          <w:rtl w:val="1"/>
        </w:rPr>
        <w:t>تقرير يضم 1 حديثًا من المحتوى المنشور. الشواهد المميزة مرتبطة بالدلالة المختارة أو بالتصنيفات المنشورة عند عدم اختيار دلالة. الأحكام من السجلات الأصلية.</w:t>
      </w:r>
    </w:p>
    <w:p>
      <w:pPr>
        <w:bidi w:val="1"/>
        <w:jc w:val="start"/>
      </w:pPr>
      <w:r>
        <w:rPr>
          <w:rtl w:val="1"/>
        </w:rPr>
        <w:fldChar w:fldCharType="begin"/>
        <w:instrText xml:space="preserve">TOC \o "1-9" \h \z \u</w:instrText>
        <w:fldChar w:fldCharType="end"/>
      </w:r>
    </w:p>
    <w:p>
      <w:pPr>
        <w:pStyle w:val="Heading1"/>
        <w:bidi w:val="1"/>
        <w:jc w:val="start"/>
      </w:pPr>
      <w:r>
        <w:rPr>
          <w:rtl w:val="1"/>
        </w:rPr>
        <w:t>الأحاديث المختارة</w:t>
      </w:r>
    </w:p>
    <w:p>
      <w:pPr>
        <w:bidi w:val="1"/>
        <w:jc w:val="start"/>
      </w:pPr>
      <w:r>
        <w:rPr>
          <w:b/>
          <w:rtl w:val="1"/>
        </w:rPr>
        <w:t>سنن أبي داود — باب في النوم على سطح غير حِجار-كتاب الأدب-سنن أبي داود — رقم الحديث: 5041 — الرقم الفرعي: 99 — الرقم الأصلي: 5041</w:t>
        <w:br/>
      </w:r>
      <w:r>
        <w:rPr>
          <w:rtl w:val="1"/>
        </w:rPr>
        <w:t xml:space="preserve"> حدثنا محمد بن المثنى ثنا سالم ملاحظة يعني ابن نوح عن عمر بن جابر الحنفيّ عن وعلة بن عبد الرحمن بن وثاب عن عبد الرحمن بن عليّ ملاحظة يعني ابن شيبان عن أبيه قال: قال رسولُ الله ﷺ:</w:t>
        <w:br/>
      </w:r>
      <w:r>
        <w:rPr>
          <w:color w:val="FF0000"/>
          <w:rtl w:val="1"/>
        </w:rPr>
        <w:t xml:space="preserve">«مَن باتَ على ظَهرِ بَيتٍ ليس له حِجَارٌ فقد برِئَت منه الذِّمَّة». </w:t>
      </w:r>
    </w:p>
    <w:p>
      <w:pPr>
        <w:bidi w:val="1"/>
        <w:jc w:val="start"/>
      </w:pPr>
      <w:r>
        <w:rPr>
          <w:rtl w:val="1"/>
        </w:rPr>
        <w:t xml:space="preserve">درجة الحديث: إسناده ضعيف </w:t>
      </w:r>
    </w:p>
    <w:p>
      <w:pPr>
        <w:bidi w:val="1"/>
        <w:jc w:val="start"/>
      </w:pPr>
      <w:r>
        <w:rPr>
          <w:rtl w:val="1"/>
        </w:rPr>
        <w:t>الشرح: الدلالة: الحذر والحيطة - القيم والأخلاق المحمودة</w:t>
      </w:r>
    </w:p>
    <w:p>
      <w:pPr>
        <w:bidi w:val="1"/>
        <w:jc w:val="start"/>
      </w:pPr>
      <w:r>
        <w:rPr>
          <w:rtl w:val="1"/>
        </w:rPr>
        <w:t>الشرح: الدلالة: آداب النوم والاستلقاء - الآداب الاجتماعية</w:t>
      </w:r>
    </w:p>
    <w:p>
      <w:pPr>
        <w:bidi w:val="1"/>
        <w:jc w:val="start"/>
      </w:pPr>
      <w:r>
        <w:rPr>
          <w:rtl w:val="1"/>
        </w:rPr>
        <w:t>الشرح: الدلالة: التربية البيئية الوطنية - الأهداف</w:t>
      </w:r>
    </w:p>
    <w:p>
      <w:pPr>
        <w:bidi w:val="1"/>
        <w:jc w:val="start"/>
      </w:pPr>
      <w:r>
        <w:rPr>
          <w:rtl w:val="1"/>
        </w:rPr>
        <w:t>الشرح: الدلالة: التربية بالموعظة (التوجيه والإرشاد) - الأساليب التربوية والتهذيبية</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updateFields w:val="tru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Arial" w:hAnsi="Arial"/>
      <w:sz w:val="24"/>
      <w:rFonts w:cs="Arial"/>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