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تزوّج ولم يسم صداقاً حتى مات-كتاب النكاح-سنن أبي داود — رقم الحديث: 2114 — الرقم الفرعي: 99 — الرقم الأصلي: 2114</w:t>
        <w:br/>
      </w:r>
      <w:r>
        <w:rPr>
          <w:rtl w:val="1"/>
        </w:rPr>
        <w:t xml:space="preserve"> حدثنا عثمان بن أبي شيبة ثنا عبد الرحمن بن مهديّ عن سفيان عن فراس عن الشعبيّ عن مسروق</w:t>
        <w:br/>
      </w:r>
      <w:r>
        <w:rPr>
          <w:color w:val="FF0000"/>
          <w:rtl w:val="1"/>
        </w:rPr>
        <w:t xml:space="preserve">عن عبد الله، في رَجُلٍ تزوَّج امرأةً فمات عنها ولم يَدخُلْ بها، ولم يَفرِضْ لها الصداقَ،  </w:t>
      </w:r>
      <w:r>
        <w:rPr>
          <w:color w:val="FF0000"/>
          <w:rtl w:val="1"/>
        </w:rPr>
        <w:t xml:space="preserve">فقال: لها الصَّداقُ كاملًا،  </w:t>
      </w:r>
      <w:r>
        <w:rPr>
          <w:color w:val="FF0000"/>
          <w:rtl w:val="1"/>
        </w:rPr>
        <w:t xml:space="preserve">وعليها العِدَّة،  </w:t>
      </w:r>
      <w:r>
        <w:rPr>
          <w:color w:val="FF0000"/>
          <w:rtl w:val="1"/>
        </w:rPr>
        <w:t xml:space="preserve">ولها الميراثُ،  </w:t>
      </w:r>
      <w:r>
        <w:rPr>
          <w:color w:val="000000"/>
          <w:rtl w:val="1"/>
        </w:rPr>
        <w:t xml:space="preserve">فقال مَعقِل بنُ سِنان: سمعتُ رسولَ الله ﷺ قضَى به في بَرْوَعَ بنتِ واشِقٍ.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انعقاد النكاح بدون مهر - المهر</w:t>
      </w:r>
    </w:p>
    <w:p>
      <w:pPr>
        <w:bidi w:val="1"/>
        <w:jc w:val="start"/>
      </w:pPr>
      <w:r>
        <w:rPr>
          <w:rtl w:val="1"/>
        </w:rPr>
        <w:t>الشرح: الدلالة: مهر المثل والمتعة - المهر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عدة غير المدخول بها - حساب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