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15997 — الرقم الفرعي: 99 — الرقم الأصلي: 15997</w:t>
        <w:br/>
      </w:r>
      <w:r>
        <w:rPr>
          <w:rtl w:val="1"/>
        </w:rPr>
        <w:t xml:space="preserve"> حدثنا عبد الله حدثني أبي قال:حدثنا يعقوب قال:ثنا أبي عن محمد بن إسحاق قال:حدثني عبد الله بن عمر العبليّ قال:حدثني عبيد بن جبير ملاحظة مولى الحكم بن أبي العاص عن عبد الله بن عمر وعن أبي مويهبة ملاحظة مولى رسول الله صلى الله عليه وسلم</w:t>
        <w:br/>
      </w:r>
      <w:r>
        <w:rPr>
          <w:color w:val="000000"/>
          <w:rtl w:val="1"/>
        </w:rPr>
        <w:t xml:space="preserve">قال: بعَثَني رسولُ الله ﷺ مِن جَوفِ اللَّيل،  </w:t>
      </w:r>
      <w:r>
        <w:rPr>
          <w:color w:val="FF0000"/>
          <w:rtl w:val="1"/>
        </w:rPr>
        <w:t xml:space="preserve">فقال: «يا أبا مُوَيْهِبَة، إني قد أُمرتُ أن أَستغِفرَ لأهلِ البَقيع، فانطلِق مَعي» فانطلَقتُ معه،  </w:t>
      </w:r>
      <w:r>
        <w:rPr>
          <w:color w:val="FF0000"/>
          <w:rtl w:val="1"/>
        </w:rPr>
        <w:t xml:space="preserve">فلمَّا وقفَ بينَ أَظهُرِهم قال: «السَّلامُ عليكُم يا أَهلَ المَقابر، ليَهْنِ لكُم ما أَصبحتُم فيه، ممَّا أَصبحَ فيه النّاسُ، لو تَعلَمونَ ما نَجَّاكمُ الله منه! أَقبلَتِ الفِتنُ كقِطَعِ اللَّيل المُظلِم، يَتبعُ أولَها آخرُها، الآخرةُ شرٌّ من الأُولى»  </w:t>
      </w:r>
      <w:r>
        <w:rPr>
          <w:color w:val="000000"/>
          <w:rtl w:val="1"/>
        </w:rPr>
        <w:t xml:space="preserve">قال: ثم أَقبلَ عليَّ، فقال: «يا أبا مُويهِبَة، إنِّي قد أُوتيتُ مَفاتيحَ خَزائنِ الدُّنيا والخُلْدَ فيها، ثم الجَنّة، وخُيِّرتُ بين ذلك وبينَ لقاءِ ربِّي، عزَّ وجلَّ، والجَنّة»  </w:t>
      </w:r>
      <w:r>
        <w:rPr>
          <w:color w:val="000000"/>
          <w:rtl w:val="1"/>
        </w:rPr>
        <w:t xml:space="preserve">قال: قلتُ: بأَبي وأُمّي، فخُذ مفاتيحَ الدُّنيا والخُلدَ فيها، ثم الجَنّة، قال: «لا واللهِ، يا أَبا مُويهِبة، لقد اخترتُ لقاءَ ربِّي، والجَنَّة»،  </w:t>
      </w:r>
      <w:r>
        <w:rPr>
          <w:color w:val="000000"/>
          <w:rtl w:val="1"/>
        </w:rPr>
        <w:t xml:space="preserve">ثم استَغفرَ لأَهلِ البَقيع، ثم انصَرَفَ،  </w:t>
      </w:r>
      <w:r>
        <w:rPr>
          <w:color w:val="000000"/>
          <w:rtl w:val="1"/>
        </w:rPr>
        <w:t xml:space="preserve">فبُدئَ رسولُ الله ﷺ في وَجَعِه الذي قَبَضَه اللهُ، عزَّ وجلَّ فيه حينَ أَصبح. </w:t>
      </w:r>
    </w:p>
    <w:p>
      <w:pPr>
        <w:bidi w:val="1"/>
        <w:jc w:val="start"/>
      </w:pPr>
      <w:r>
        <w:rPr>
          <w:rtl w:val="1"/>
        </w:rPr>
        <w:t xml:space="preserve">درجة الحديث: إسناده ضعيف  / إسناده ضعيف </w:t>
      </w:r>
    </w:p>
    <w:p>
      <w:pPr>
        <w:bidi w:val="1"/>
        <w:jc w:val="start"/>
      </w:pPr>
      <w:r>
        <w:rPr>
          <w:rtl w:val="1"/>
        </w:rPr>
        <w:t>الشرح: الدلالة: الفصل الثالث: شدة الفتن وكثرتها - مظاهر الفتن</w:t>
      </w:r>
    </w:p>
    <w:p>
      <w:pPr>
        <w:bidi w:val="1"/>
        <w:jc w:val="start"/>
      </w:pPr>
      <w:r>
        <w:rPr>
          <w:rtl w:val="1"/>
        </w:rPr>
        <w:t>الشرح: الدلالة: زيارته لأهل البقيع كالمودع لهم - بين يدي المرض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