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إنشاء الشعر-كتاب الأدب-سنن الترمذي — رقم الحديث: 2847 — الرقم الفرعي: 99 — الرقم الأصلي: 2851</w:t>
        <w:br/>
      </w:r>
      <w:r>
        <w:rPr>
          <w:rtl w:val="1"/>
        </w:rPr>
        <w:t xml:space="preserve"> حدثنا إسحاق بن منصور أخبرنا عبد الرزاق أخبرنا جعفر بن سليمان حدثنا ثابت عن أنس</w:t>
        <w:br/>
      </w:r>
      <w:r>
        <w:rPr>
          <w:color w:val="FF0000"/>
          <w:rtl w:val="1"/>
        </w:rPr>
        <w:t xml:space="preserve">أنَّ النّبيَّ ﷺ دَخَلَ مكةَ في عُمرةِ القَضاء،  </w:t>
      </w:r>
      <w:r>
        <w:rPr>
          <w:color w:val="FF0000"/>
          <w:rtl w:val="1"/>
        </w:rPr>
        <w:t xml:space="preserve">وعبدُ اللهِ بنُ رَوَاحةَ بينَ يَدَيهِ يَمشِي وهو يقول: </w:t>
      </w:r>
      <w:r>
        <w:rPr>
          <w:color w:val="FF0000"/>
          <w:rtl w:val="1"/>
        </w:rPr>
        <w:t xml:space="preserve">خَلُّوا بَنِي الكُفَّارِ عن سَبِيلِهِ  اليومَ نَضرِبْكُم على تَنزِيلِهِ </w:t>
      </w:r>
      <w:r>
        <w:rPr>
          <w:color w:val="FF0000"/>
          <w:rtl w:val="1"/>
        </w:rPr>
        <w:t xml:space="preserve">ضَرْبًا يُزيلُ الهامَ عن مَقِيلِهِ   ويُذهِلُ الخَليلَ عن خَلِيلِهِ </w:t>
      </w:r>
      <w:r>
        <w:rPr>
          <w:color w:val="FF0000"/>
          <w:rtl w:val="1"/>
        </w:rPr>
        <w:t xml:space="preserve">فقالَ له عُمر: يا ابنَ رَوَاحةَ، بينَ يَدَيْ رَسولِ الله ﷺ وفي حَرَمِ اللهِ تقولُ الشعر!  </w:t>
      </w:r>
      <w:r>
        <w:rPr>
          <w:color w:val="FF0000"/>
          <w:rtl w:val="1"/>
        </w:rPr>
        <w:t xml:space="preserve">فقالَ له النّبيُّ ﷺ: «خَلِّ عنه يا عُمر، فلَهِي أسرَعُ فيهِم مِن نَضْحِ النَّبْل. </w:t>
      </w:r>
      <w:r>
        <w:rPr>
          <w:color w:val="000000"/>
          <w:rtl w:val="1"/>
        </w:rPr>
        <w:t xml:space="preserve">هذا حديثٌ حسنٌ غريبٌ صحيحٌ من هذا الوجه. </w:t>
      </w:r>
      <w:r>
        <w:rPr>
          <w:color w:val="000000"/>
          <w:rtl w:val="1"/>
        </w:rPr>
        <w:t xml:space="preserve">وقد رَوى عبدُ الرزاق هذا الحديثَ أيضًا عن مَعمَر، عن الزُّهْري، عن أَنس، نحوَ هذا.  </w:t>
      </w:r>
      <w:r>
        <w:rPr>
          <w:color w:val="000000"/>
          <w:rtl w:val="1"/>
        </w:rPr>
        <w:t xml:space="preserve">ورُوي في غيرِ هذا الحديث: أنَّ النّبيَّ ﷺ دَخلَ مَكّةَ في عُمرةِ القَضاء، وكعبُ بنُ مالكٍ بينَ يدَيه، وهذا أَصحُّ عندَ بعضِ أهل الحديث، لأنَّ عبدَ الله بنَ رَواحةَ قُتِل يومَ مُؤتةَ، وإنَّما كانت عُمرةُ القَضاءِ بعدَ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عمرة القضاء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الإعلام والصحافة والدعاية</w:t>
      </w:r>
    </w:p>
    <w:p>
      <w:pPr>
        <w:bidi w:val="1"/>
        <w:jc w:val="start"/>
      </w:pPr>
      <w:r>
        <w:rPr>
          <w:rtl w:val="1"/>
        </w:rPr>
        <w:t>الشرح: الدلالة: الجهاد والحرب النفسية والإشاعة(يحال إلى الجهادوالتعبئة العسكرية)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قيمة شعر الحماسة في الحرب - قيمة الشِّعر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