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تعظيم الغلول-كتاب الجهاد-سنن أبي داود — رقم الحديث: 2710 — الرقم الفرعي: 99 — الرقم الأصلي: 2710</w:t>
        <w:br/>
      </w:r>
      <w:r>
        <w:rPr>
          <w:rtl w:val="1"/>
        </w:rPr>
        <w:t xml:space="preserve"> حدثنا مُسدّد أنّ يحيى بن سعيد و بشر بن المفضل حدثاهم عن يحيى بن سعيد عن محمد بن يحيى بن حبان عن أبي عمرة عن زيد بن خالد الجهنيّ</w:t>
        <w:br/>
      </w:r>
      <w:r>
        <w:rPr>
          <w:color w:val="FF0000"/>
          <w:rtl w:val="1"/>
        </w:rPr>
        <w:t xml:space="preserve">أنَّ رَجلًا مِن أَصحابِ النّبيِّ ﷺ تُوفِّي يومَ خيبَر، فذكَروا ذلك لِرسولِ الله ﷺ  </w:t>
      </w:r>
      <w:r>
        <w:rPr>
          <w:color w:val="FF0000"/>
          <w:rtl w:val="1"/>
        </w:rPr>
        <w:t xml:space="preserve">فقال: «صَلُّوا على صاحبِكُم»  </w:t>
      </w:r>
      <w:r>
        <w:rPr>
          <w:color w:val="FF0000"/>
          <w:rtl w:val="1"/>
        </w:rPr>
        <w:t xml:space="preserve">فتغيَّرتْ وجوهُ الناسِ لذلك، فقال: «إنَّ صاحبَكم غَلَّ في سَبيلِ الله»، ففتَّشْنا مَتاعَه فوَجدنا خَرَزًا مِن خَرزِ يهودَ لا يُساوي دِرهَمَين.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الصلاة على المدين والغالِّ ومن في حكمهما - مشروعية الصلاة على الجنازة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أحوال ترك النبي صلى الله عليه وسلم الصلاة على الميت - صلاة الجنازة</w:t>
      </w:r>
    </w:p>
    <w:p>
      <w:pPr>
        <w:bidi w:val="1"/>
        <w:jc w:val="start"/>
      </w:pPr>
      <w:r>
        <w:rPr>
          <w:rtl w:val="1"/>
        </w:rPr>
        <w:t>الشرح: الدلالة: قيمة تحريم الغلول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