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الإسراع إلى الصلاة من غير سعي-كتاب الإمامة-سنن النسائي — رقم الحديث: 862 — الرقم الفرعي: 99 — الرقم الأصلي: 862</w:t>
        <w:br/>
      </w:r>
      <w:r>
        <w:rPr>
          <w:rtl w:val="1"/>
        </w:rPr>
        <w:t xml:space="preserve"> أخبرنا عمرو بن سوّاد بن الأسود بن عمرو قال:أنبأنا ابن وهب قال:أنبأنا ابن جريج عن منبوذ عن الفضل بن عبيد الله عن أبي رافع</w:t>
        <w:br/>
      </w:r>
      <w:r>
        <w:rPr>
          <w:color w:val="000000"/>
          <w:rtl w:val="1"/>
        </w:rPr>
        <w:t xml:space="preserve">قال: كان رسولُ اللهِ ﷺ إذا صَلَّى العَصرَ ذَهبَ إلى بَنِي عبدِ الأَشهَلِ،  </w:t>
      </w:r>
      <w:r>
        <w:rPr>
          <w:color w:val="FF0000"/>
          <w:rtl w:val="1"/>
        </w:rPr>
        <w:t xml:space="preserve">فيتحدَّثُ عِندَهم حتَّى يَنحَدِرَ للمَغرِب.  </w:t>
      </w:r>
      <w:r>
        <w:rPr>
          <w:color w:val="FF0000"/>
          <w:rtl w:val="1"/>
        </w:rPr>
        <w:t xml:space="preserve">قال أبو رافع: فبينَما النبيُّ ﷺ يُسرِعُ إلى المَغرِبِ مَررنا بالبَقِيع،  </w:t>
      </w:r>
      <w:r>
        <w:rPr>
          <w:color w:val="FF0000"/>
          <w:rtl w:val="1"/>
        </w:rPr>
        <w:t xml:space="preserve">فقال: «أُفِّ لك، أُفِّ لك».  </w:t>
      </w:r>
      <w:r>
        <w:rPr>
          <w:color w:val="000000"/>
          <w:rtl w:val="1"/>
        </w:rPr>
        <w:t xml:space="preserve">قال: فكَبُرَ ذلك في ذَرْعِي،  </w:t>
      </w:r>
      <w:r>
        <w:rPr>
          <w:color w:val="000000"/>
          <w:rtl w:val="1"/>
        </w:rPr>
        <w:t xml:space="preserve">فاستأخرتُ وظَننتُ أَنَّه يُرِيدُنِي، فقال: «ما لَكَ امشِ».  </w:t>
      </w:r>
      <w:r>
        <w:rPr>
          <w:color w:val="000000"/>
          <w:rtl w:val="1"/>
        </w:rPr>
        <w:t xml:space="preserve">فقلتُ: أَحدَثتُ حَدَثًا؟ قال: «ما ذَاك؟» قلتُ: أَفَّفْتَ بِي؟ قال:  </w:t>
      </w:r>
      <w:r>
        <w:rPr>
          <w:color w:val="FF0000"/>
          <w:rtl w:val="1"/>
        </w:rPr>
        <w:t xml:space="preserve">«لا. ولكن هذا فُلانٌ بَعثتُه سَاعِيًا على بنِي فلان فَغَلَّ نَمِرَةً، فدُرِّع الآن مَثلها مِن نار».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قبائل الأنصار(بنو عبد الأشهل، بنو النجار، بنو الحارث..) - ما ورد في القبائل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الغلول - من أسباب عذاب القبر</w:t>
      </w:r>
    </w:p>
    <w:p>
      <w:pPr>
        <w:bidi w:val="1"/>
        <w:jc w:val="start"/>
      </w:pPr>
      <w:r>
        <w:rPr>
          <w:rtl w:val="1"/>
        </w:rPr>
        <w:t>الشرح: الدلالة: افتراش القبر نارًا تلظى عليه - صور من العذاب في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