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متى يؤمَر الغلام بالصلاة-كتاب الصلاة-سنن أبي داود — رقم الحديث: 494 — الرقم الفرعي: 99 — الرقم الأصلي: 494</w:t>
        <w:br/>
      </w:r>
      <w:r>
        <w:rPr>
          <w:rtl w:val="1"/>
        </w:rPr>
        <w:t xml:space="preserve"> حدثنا محمد بن عيسى ملاحظة يعني ابن الطّبّاع ثنا إبراهيم بن سعد عن عبد الملك بن الرّبيع بن سبرة عن أبيه عن جدّه قال:قال النبيّ صلى الله عليه وسلم</w:t>
        <w:br/>
      </w:r>
      <w:r>
        <w:rPr>
          <w:color w:val="FF0000"/>
          <w:rtl w:val="1"/>
        </w:rPr>
        <w:t xml:space="preserve">«مُرُوا الصَّبِيَّ بالصَّلاةِ إذا بَلَغَ سَبْعَ سِنين،  </w:t>
      </w:r>
      <w:r>
        <w:rPr>
          <w:color w:val="FF0000"/>
          <w:rtl w:val="1"/>
        </w:rPr>
        <w:t xml:space="preserve">وإذا بَلَغَ عَشْرَ سِنين فاضرِبوهُ عليها».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الأمر بالمحافظة على الصلاة - مشروعية الصلاة وفضلها</w:t>
      </w:r>
    </w:p>
    <w:p>
      <w:pPr>
        <w:bidi w:val="1"/>
        <w:jc w:val="start"/>
      </w:pPr>
      <w:r>
        <w:rPr>
          <w:rtl w:val="1"/>
        </w:rPr>
        <w:t>الشرح: الدلالة: الأسرة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الصغار - فئات المتعلمين</w:t>
      </w:r>
    </w:p>
    <w:p>
      <w:pPr>
        <w:bidi w:val="1"/>
        <w:jc w:val="start"/>
      </w:pPr>
      <w:r>
        <w:rPr>
          <w:rtl w:val="1"/>
        </w:rPr>
        <w:t>الشرح: الدلالة: رعاية الوالدين للأولاد - الرعاية الأسرية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الحاجة إلى الإيمان بالله وحده وعبادته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تربية الأبناء على تعاليم الإسلام - واجب الآباء نحو الأبناء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