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 — الرقم الفرعي: 99 — الرقم الأصلي: 70 — ج: 1 — ص: 11</w:t>
        <w:br/>
      </w:r>
      <w:r>
        <w:rPr>
          <w:rtl w:val="1"/>
        </w:rPr>
        <w:t xml:space="preserve"> حدثنا يعلى بن عبيد حدثنا إسماعيل عن أبي بكر الثقفيّ قال:قال أبو بكر</w:t>
        <w:br/>
      </w:r>
      <w:r>
        <w:rPr>
          <w:color w:val="000000"/>
          <w:rtl w:val="1"/>
        </w:rPr>
        <w:t xml:space="preserve">يَا رَسُولَ اللهِ، كَيْفَ الصَّلاحُ بَعْدَ هَذِهِ الْآيَةِ: ﴿مَنْ يَعْمَلْ سُوءًا يُجْزَ بِهِ﴾ [النساء: 123]؟ ...فَذَكَرَ الْحَدِيثَ.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