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إسباغ الوضوء،وقال ابن عمر:إسباغ الوضوء الإنقاء-كتاب الوضوء-صحيح البخاري — رقم الحديث: 139 — الرقم الفرعي: 99 — الرقم الأصلي: 139</w:t>
        <w:br/>
      </w:r>
      <w:r>
        <w:rPr>
          <w:rtl w:val="1"/>
        </w:rPr>
        <w:t xml:space="preserve"> حدثنا عبد الله بن مسلمة عن مالك عن موسى بن عقبة عن كريب ملاحظة مولى ابن عباس عن أسامة بن زيد</w:t>
        <w:br/>
      </w:r>
      <w:r>
        <w:rPr>
          <w:color w:val="FF0000"/>
          <w:rtl w:val="1"/>
        </w:rPr>
        <w:t xml:space="preserve">أنَّه سَمِعَه يقولُ: دَفَعَ رسولُ الله ﷺ مِن عَرَفةَ،  </w:t>
      </w:r>
      <w:r>
        <w:rPr>
          <w:color w:val="FF0000"/>
          <w:rtl w:val="1"/>
        </w:rPr>
        <w:t xml:space="preserve">حتَّى إذا كان بالشِّعْبِ نَزَلَ فبالَ ثمَّ تَوضَّأَ،  </w:t>
      </w:r>
      <w:r>
        <w:rPr>
          <w:color w:val="FF0000"/>
          <w:rtl w:val="1"/>
        </w:rPr>
        <w:t xml:space="preserve">ولم يُسبِغ الوُضُوءَ،  </w:t>
      </w:r>
      <w:r>
        <w:rPr>
          <w:color w:val="FF0000"/>
          <w:rtl w:val="1"/>
        </w:rPr>
        <w:t xml:space="preserve">فقلتُ: الصلاةَ يا رسولَ الله؟  </w:t>
      </w:r>
      <w:r>
        <w:rPr>
          <w:color w:val="FF0000"/>
          <w:rtl w:val="1"/>
        </w:rPr>
        <w:t xml:space="preserve">فقال: «الصلاةُ أمامَكَ»  </w:t>
      </w:r>
      <w:r>
        <w:rPr>
          <w:color w:val="FF0000"/>
          <w:rtl w:val="1"/>
        </w:rPr>
        <w:t xml:space="preserve">فرَكِبَ، فلمّا جاءَ المُزدَلِفةَ نَزَلَ فتَوضَّأ،  </w:t>
      </w:r>
      <w:r>
        <w:rPr>
          <w:color w:val="FF0000"/>
          <w:rtl w:val="1"/>
        </w:rPr>
        <w:t xml:space="preserve">فأسبَغَ الوُضُوءَ،  </w:t>
      </w:r>
      <w:r>
        <w:rPr>
          <w:color w:val="FF0000"/>
          <w:rtl w:val="1"/>
        </w:rPr>
        <w:t xml:space="preserve">ثمَّ أُقِيمَتِ الصلاةُ فصَلَّى المغربَ،  </w:t>
      </w:r>
      <w:r>
        <w:rPr>
          <w:color w:val="FF0000"/>
          <w:rtl w:val="1"/>
        </w:rPr>
        <w:t xml:space="preserve">ثمَّ أناخَ كلُّ إنسانٍ بَعِيرَه في مَنزِلِه،  </w:t>
      </w:r>
      <w:r>
        <w:rPr>
          <w:color w:val="FF0000"/>
          <w:rtl w:val="1"/>
        </w:rPr>
        <w:t xml:space="preserve">ثمَّ أُقِيمَتِ العِشاءُ فصَلَّى ولم يُصلِّ بينَهما.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وقت الوقوف بعرفة - الوقوف بعرفة</w:t>
      </w:r>
    </w:p>
    <w:p>
      <w:pPr>
        <w:bidi w:val="1"/>
        <w:jc w:val="start"/>
      </w:pPr>
      <w:r>
        <w:rPr>
          <w:rtl w:val="1"/>
        </w:rPr>
        <w:t>الشرح: الدلالة: الإفاضة من عرفة - الوقوف بعرفة</w:t>
      </w:r>
    </w:p>
    <w:p>
      <w:pPr>
        <w:bidi w:val="1"/>
        <w:jc w:val="start"/>
      </w:pPr>
      <w:r>
        <w:rPr>
          <w:rtl w:val="1"/>
        </w:rPr>
        <w:t>الشرح: الدلالة: مشروعية المبيت بمزدلفة - المبيت بمزدلفة</w:t>
      </w:r>
    </w:p>
    <w:p>
      <w:pPr>
        <w:bidi w:val="1"/>
        <w:jc w:val="start"/>
      </w:pPr>
      <w:r>
        <w:rPr>
          <w:rtl w:val="1"/>
        </w:rPr>
        <w:t>الشرح: الدلالة: الجمع بين المغرب والعشاء في مزدلفة - المبيت بمزدلفة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ما ورد في يوم عرفة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الوضوء للصلاة - ما يشرع له الوضوء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إسباغ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في ليلة المزدلفة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