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النبيذ الذي لم يشتد ولم يصر مسكراً-كتاب الأشربة-صحيح مسلم — رقم الحديث: 2004 — الرقم الفرعي: 1 — الرقم الأصلي: 2004</w:t>
        <w:br/>
      </w:r>
      <w:r>
        <w:rPr>
          <w:rtl w:val="1"/>
        </w:rPr>
        <w:t xml:space="preserve"> حدثنا عبيدالله بن معاذ العنبريّ حدثنا أبي حدثنا شعبة عن يحيى بن عبيد،أبي عمر البَهْرانيّ قال: سمعتُ ابنَ عبّاسٍ</w:t>
        <w:br/>
      </w:r>
      <w:r>
        <w:rPr>
          <w:color w:val="000000"/>
          <w:rtl w:val="1"/>
        </w:rPr>
        <w:t xml:space="preserve">يقول: </w:t>
      </w:r>
      <w:r>
        <w:rPr>
          <w:color w:val="000000"/>
          <w:rtl w:val="1"/>
        </w:rPr>
        <w:t xml:space="preserve">كانَ رسولُ الله ﷺ يُنتبَذُ له في أوّلِ اللّيل،  </w:t>
      </w:r>
      <w:r>
        <w:rPr>
          <w:color w:val="000000"/>
          <w:rtl w:val="1"/>
        </w:rPr>
        <w:t xml:space="preserve">فيَشربُه إذا أَصبَحَ يومَه ذلك، واللَّيلةَ التي تَجيءُ، والغَدَ، واللَّيلةَ الأُخرى، والغَدَ إلى العَصر،  </w:t>
      </w:r>
      <w:r>
        <w:rPr>
          <w:color w:val="000000"/>
          <w:rtl w:val="1"/>
        </w:rPr>
        <w:t xml:space="preserve">فإن بقِيَ شيءٌ، سقاهُ الخادِمَ،  </w:t>
      </w:r>
      <w:r>
        <w:rPr>
          <w:color w:val="FF0000"/>
          <w:rtl w:val="1"/>
        </w:rPr>
        <w:t xml:space="preserve">أو أَمَرَ به فصُبَّ. 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فساد الأطعمة بالتخمر والتعفن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