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94 — الرقم الفرعي: 99 — الرقم الأصلي: 94 — ج: 1 — ص: 16</w:t>
        <w:br/>
      </w:r>
      <w:r>
        <w:rPr>
          <w:rtl w:val="1"/>
        </w:rPr>
        <w:t xml:space="preserve"> حدثنا يعقوب حدثنا أبي عن ابن إسحاق حدثني نافع عن عبد الله بن عمر عن أبيه</w:t>
        <w:br/>
      </w:r>
      <w:r>
        <w:rPr>
          <w:color w:val="000000"/>
          <w:rtl w:val="1"/>
        </w:rPr>
        <w:t xml:space="preserve">قَالَ: سَأَلتُ رَسُولَ اللهِ ﷺ: كَيْفَ يَصْنَعُ أَحَدُنا إِذَا هُوَ أَجْنبَ، ثُمَّ أَرادَ أَنْ يَنَامَ قَبْلَ أَنْ يَغْتَسِلَ؟ قَالَ: فَقالَ رَسُولُ اللهِ ﷺ: «لِيَتوَضَّأْ وُضُوءَهُ لِلصَّلاةِ، ثُمَّ لِيَنَمْ»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