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165 — الرقم الفرعي: 99 — الرقم الأصلي: 165</w:t>
        <w:br/>
      </w:r>
      <w:r>
        <w:rPr>
          <w:rtl w:val="1"/>
        </w:rPr>
        <w:t xml:space="preserve"> حدثنا سفيان عن عبد الله بن دينار عن ابن عمر عن عمر</w:t>
        <w:br/>
      </w:r>
      <w:r>
        <w:rPr>
          <w:color w:val="000000"/>
          <w:rtl w:val="1"/>
        </w:rPr>
        <w:t xml:space="preserve">أنَّهُ سَألَ النَّبِيَّ ﷺ: أَينَامُ أَحَدُنَا وَهُوَ جُنُبٌ؟ قَالَ: «يَتَوَضَّأُ وَيَنَامُ إِنْ شَاءَ» وَقَالَ سُفْيَانُ مَرَّةً: «لِيَتَوَضَّأْ وَلْيَنَمْ»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