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ما يجمع صفة الصلة وما يفتتح به ويختم به،وصفة الركوع *-كتاب الصلاة-صحيح مسلم — رقم الحديث: 498 — الرقم الفرعي: 99 — الرقم الأصلي: 498</w:t>
        <w:br/>
      </w:r>
      <w:r>
        <w:rPr>
          <w:rtl w:val="1"/>
        </w:rPr>
        <w:t xml:space="preserve"> حدثنا محمد بن عبد الله بن نُمير حدثنا أبو خالد ملاحظة يعني الأحمر عن حسين المُعلِّم ح قال:وحدثنا إسحاق بن إبراهيم ملاحظة واللفظ له قال: أخبرنا عيسى بن يونس حدثنا حسين المُعلِّم عن بُديل بن مَيسرة عن أبي الجَوزاء عن عائشة</w:t>
        <w:br/>
      </w:r>
      <w:r>
        <w:rPr>
          <w:color w:val="FF0000"/>
          <w:rtl w:val="1"/>
        </w:rPr>
        <w:t xml:space="preserve">كان رسولُ اللهِ ﷺ «يَستَفتِحُ الصلاةَ بالتَّكبير.  </w:t>
      </w:r>
      <w:r>
        <w:rPr>
          <w:color w:val="FF0000"/>
          <w:rtl w:val="1"/>
        </w:rPr>
        <w:t xml:space="preserve">والقراءة بـ«الحمدُ للهِ ربِّ العالَمين»،  </w:t>
      </w:r>
      <w:r>
        <w:rPr>
          <w:color w:val="FF0000"/>
          <w:rtl w:val="1"/>
        </w:rPr>
        <w:t xml:space="preserve">وكان إذا رَكَع لم يَشخَص رأسَه، ولَم يُصَوِّبْه ولكن بَينَ ذلك،  </w:t>
      </w:r>
      <w:r>
        <w:rPr>
          <w:color w:val="FF0000"/>
          <w:rtl w:val="1"/>
        </w:rPr>
        <w:t xml:space="preserve">وكان إذا رَفَعَ رأسَه مِن الرُّكُوع لم يَسجُد، حتَّى يَستَوِيَ قائِما،  </w:t>
      </w:r>
      <w:r>
        <w:rPr>
          <w:color w:val="FF0000"/>
          <w:rtl w:val="1"/>
        </w:rPr>
        <w:t xml:space="preserve">وكان إذا رفع رأسَه مِن السَّجدةِ، لم يَسجُد حتَّى يَستَويَ جالِساً،  </w:t>
      </w:r>
      <w:r>
        <w:rPr>
          <w:color w:val="000000"/>
          <w:rtl w:val="1"/>
        </w:rPr>
        <w:t xml:space="preserve">وكان يَقُولُ في كلِّ ركعَتَين التَّحيَّة،  </w:t>
      </w:r>
      <w:r>
        <w:rPr>
          <w:color w:val="FF0000"/>
          <w:rtl w:val="1"/>
        </w:rPr>
        <w:t xml:space="preserve">وكان يَفرُشُ رِجلَه اليُسرَى ويَنصُب رِجلَه اليُمنَى،  </w:t>
      </w:r>
      <w:r>
        <w:rPr>
          <w:color w:val="000000"/>
          <w:rtl w:val="1"/>
        </w:rPr>
        <w:t xml:space="preserve">وكان يَنهَى عن عُقبَةِ الشيطان.  </w:t>
      </w:r>
      <w:r>
        <w:rPr>
          <w:color w:val="000000"/>
          <w:rtl w:val="1"/>
        </w:rPr>
        <w:t xml:space="preserve">ويَنهَى أن يَفتَرِشَ الرجلُ ذِراعَيْه افتراشَ السَّبُع،  </w:t>
      </w:r>
      <w:r>
        <w:rPr>
          <w:color w:val="000000"/>
          <w:rtl w:val="1"/>
        </w:rPr>
        <w:t xml:space="preserve">وكان يَختِمُ الصلاةَ بالتَّسليم».  </w:t>
      </w:r>
      <w:r>
        <w:rPr>
          <w:color w:val="000000"/>
          <w:rtl w:val="1"/>
        </w:rPr>
        <w:t xml:space="preserve">وفي روايةِ ابنِ نُمَير، عن أبي خالد، وكان يَنهَى عن عَقِبِ الشيطان.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تكبيرة الإحرام - افتتاح الصلاة</w:t>
      </w:r>
    </w:p>
    <w:p>
      <w:pPr>
        <w:bidi w:val="1"/>
        <w:jc w:val="start"/>
      </w:pPr>
      <w:r>
        <w:rPr>
          <w:rtl w:val="1"/>
        </w:rPr>
        <w:t>الشرح: الدلالة: هيئة الركوع والطمأنينة فيه - الركوع</w:t>
      </w:r>
    </w:p>
    <w:p>
      <w:pPr>
        <w:bidi w:val="1"/>
        <w:jc w:val="start"/>
      </w:pPr>
      <w:r>
        <w:rPr>
          <w:rtl w:val="1"/>
        </w:rPr>
        <w:t>الشرح: الدلالة: هيئة الجلوس للتشهد - الجلوس والتشهد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السنة في موضوع قراءة البسملة في الصلاة - قراءة الفاتحة في الصلاة</w:t>
      </w:r>
    </w:p>
    <w:p>
      <w:pPr>
        <w:bidi w:val="1"/>
        <w:jc w:val="start"/>
      </w:pPr>
      <w:r>
        <w:rPr>
          <w:rtl w:val="1"/>
        </w:rPr>
        <w:t>الشرح: الدلالة: وجوب قراءة الفاتحة في الصلاة - قراءة الفاتحة في الصلاة</w:t>
      </w:r>
    </w:p>
    <w:p>
      <w:pPr>
        <w:bidi w:val="1"/>
        <w:jc w:val="start"/>
      </w:pPr>
      <w:r>
        <w:rPr>
          <w:rtl w:val="1"/>
        </w:rPr>
        <w:t>الشرح: الدلالة: النهوض من الركوع ورفع اليدين والتكبير والطمأنينة فيه والذكر - الركوع</w:t>
      </w:r>
    </w:p>
    <w:p>
      <w:pPr>
        <w:bidi w:val="1"/>
        <w:jc w:val="start"/>
      </w:pPr>
      <w:r>
        <w:rPr>
          <w:rtl w:val="1"/>
        </w:rPr>
        <w:t>الشرح: الدلالة: الطمأنينة في القدوم إلى الصلاة وفي إتمام أركانها - الخشوع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