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3012 — الرقم الفرعي: 99 — الرقم الأصلي: 3012</w:t>
        <w:br/>
      </w:r>
      <w:r>
        <w:rPr>
          <w:rtl w:val="1"/>
        </w:rPr>
        <w:t xml:space="preserve"> ملاحظة خاصة  (3012) </w:t>
        <w:br/>
      </w:r>
      <w:r>
        <w:rPr>
          <w:color w:val="000000"/>
          <w:rtl w:val="1"/>
        </w:rPr>
        <w:t xml:space="preserve">سِرْنا مع رسولِ الله ﷺ، حتى نزلنا وادياً أفيَح، </w:t>
      </w:r>
      <w:r>
        <w:rPr>
          <w:color w:val="FF0000"/>
          <w:rtl w:val="1"/>
        </w:rPr>
        <w:t xml:space="preserve">فذهب رسولُ الله ﷺ يقضي حاجته، فاتّبعتُه بإداوةٍ من ماء،  </w:t>
      </w:r>
      <w:r>
        <w:rPr>
          <w:color w:val="FF0000"/>
          <w:rtl w:val="1"/>
        </w:rPr>
        <w:t xml:space="preserve">فنظرَ رسولُ الله ﷺ فلم يَرَ شيئاً يَستتر به، فإذا شجرتان بشاطىء الوادي،  </w:t>
      </w:r>
      <w:r>
        <w:rPr>
          <w:color w:val="FF0000"/>
          <w:rtl w:val="1"/>
        </w:rPr>
        <w:t xml:space="preserve">فانطلقَ رسولُ الله ﷺ إلى إحداهما فأخذ بغصنٍ من أغصانها، فقال: «انقادي علَيّ بإذن الله»،  </w:t>
      </w:r>
      <w:r>
        <w:rPr>
          <w:color w:val="FF0000"/>
          <w:rtl w:val="1"/>
        </w:rPr>
        <w:t xml:space="preserve">فانقادت معه كالبَعير المَخشُوش، الذي يُصانِع قائدَه، </w:t>
      </w:r>
      <w:r>
        <w:rPr>
          <w:color w:val="FF0000"/>
          <w:rtl w:val="1"/>
        </w:rPr>
        <w:t xml:space="preserve">حتى أتى الشَّجرةَ الأُخرى، فأخذ بغُصنٍ من أغصانها، فقال: «انقادي علَيّ بإذن الله»،  </w:t>
      </w:r>
      <w:r>
        <w:rPr>
          <w:color w:val="FF0000"/>
          <w:rtl w:val="1"/>
        </w:rPr>
        <w:t xml:space="preserve">فانقادت معه كذلك،  </w:t>
      </w:r>
      <w:r>
        <w:rPr>
          <w:color w:val="FF0000"/>
          <w:rtl w:val="1"/>
        </w:rPr>
        <w:t xml:space="preserve">حتى إذا كان بالمَنصَف ممّا بينهما، لَأَمَ بينهما - يعني جمَعَهما -  </w:t>
      </w:r>
      <w:r>
        <w:rPr>
          <w:color w:val="FF0000"/>
          <w:rtl w:val="1"/>
        </w:rPr>
        <w:t xml:space="preserve">فقال: «الْتَئِما علَيَّ بإذن الله»، فالتأَمَتا.  </w:t>
      </w:r>
      <w:r>
        <w:rPr>
          <w:color w:val="000000"/>
          <w:rtl w:val="1"/>
        </w:rPr>
        <w:t xml:space="preserve">قال جابر: فخرجتُ أُحضِرُ مَخافةَ أنْ يُحِسَّ رسولُ الله ﷺ بقُرْبي فيبتعد  </w:t>
      </w:r>
      <w:r>
        <w:rPr>
          <w:color w:val="000000"/>
          <w:rtl w:val="1"/>
        </w:rPr>
        <w:t xml:space="preserve">(وقال محمد بن عبّاد: فيتبعّد)  </w:t>
      </w:r>
      <w:r>
        <w:rPr>
          <w:color w:val="000000"/>
          <w:rtl w:val="1"/>
        </w:rPr>
        <w:t xml:space="preserve">فجلستُ أُحدِّثُ نفسي، فحانت منّي لَفْتةٌ، فإذا أنا برسولِ الله ﷺ مُقْبِلاً،  </w:t>
      </w:r>
      <w:r>
        <w:rPr>
          <w:color w:val="FF0000"/>
          <w:rtl w:val="1"/>
        </w:rPr>
        <w:t xml:space="preserve">وإذا الشَّجرتانِ قد افترقَتا، فقامت كلُّ واحدةٍ منهما على ساقٍ،  </w:t>
      </w:r>
      <w:r>
        <w:rPr>
          <w:color w:val="000000"/>
          <w:rtl w:val="1"/>
        </w:rPr>
        <w:t xml:space="preserve">فرأيتُ رسولَ الله ﷺ وَقف وَقفةً، فقال برأسه هكذا (وأشار أبو إسماعيل برأسه يمينًا وشمالاً) ثم أَقبلَ.  </w:t>
      </w:r>
      <w:r>
        <w:rPr>
          <w:color w:val="000000"/>
          <w:rtl w:val="1"/>
        </w:rPr>
        <w:t xml:space="preserve">فلمّا انتهى إليّ قال: «يا جابر! هل رأيتَ مَقامي؟» قلت: نعم، يا رسول الله!  </w:t>
      </w:r>
      <w:r>
        <w:rPr>
          <w:color w:val="000000"/>
          <w:rtl w:val="1"/>
        </w:rPr>
        <w:t xml:space="preserve">قال: «فانطلِق إلى الشَّجرتَين فاقطَعْ من كلِّ واحدةٍ منهما غُصناً، فأقبِل بهما،  </w:t>
      </w:r>
      <w:r>
        <w:rPr>
          <w:color w:val="000000"/>
          <w:rtl w:val="1"/>
        </w:rPr>
        <w:t xml:space="preserve">حتى إذا قمتَ مَقامي فأرسِل غُصنًا عن يَمينِك وغُصنًا عن يسارك».  </w:t>
      </w:r>
      <w:r>
        <w:rPr>
          <w:color w:val="000000"/>
          <w:rtl w:val="1"/>
        </w:rPr>
        <w:t xml:space="preserve">قال جابر: فقمتُ فأخذتُ حَجَرًا فكَسَرتُه وحَسَرتُه، فانْذَلَق لي، </w:t>
      </w:r>
      <w:r>
        <w:rPr>
          <w:color w:val="000000"/>
          <w:rtl w:val="1"/>
        </w:rPr>
        <w:t xml:space="preserve">فأتيتُ الشجرتَين فقطعتُ من كلِّ واحدةٍ منهما غصنًا، ثم أقبلتُ أَجرُّهما،  </w:t>
      </w:r>
      <w:r>
        <w:rPr>
          <w:color w:val="000000"/>
          <w:rtl w:val="1"/>
        </w:rPr>
        <w:t xml:space="preserve">حتى قمتُ مَقامَ رسول الله ﷺ، أرسلتُ غُصنًا عن يميني وغُصنًا عن يساري،  </w:t>
      </w:r>
      <w:r>
        <w:rPr>
          <w:color w:val="000000"/>
          <w:rtl w:val="1"/>
        </w:rPr>
        <w:t xml:space="preserve">ثم لَحِقتُه فقلت: قد فعلتُ، يا رسول الله! فعَمّ ذاك؟  </w:t>
      </w:r>
      <w:r>
        <w:rPr>
          <w:color w:val="FF0000"/>
          <w:rtl w:val="1"/>
        </w:rPr>
        <w:t xml:space="preserve">قال: «إنِّي مررتُ بقَبرين يُعذَّبان؛ فأحببتُ، بشفاعَتي، أنْ يُرَفَّه عنهما، ما دامَ الغُصنانِ رَطْبَين». 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النميمة وعدم الاستبراء من البول - من أسباب عذاب القبر</w:t>
      </w:r>
    </w:p>
    <w:p>
      <w:pPr>
        <w:bidi w:val="1"/>
        <w:jc w:val="start"/>
      </w:pPr>
      <w:r>
        <w:rPr>
          <w:rtl w:val="1"/>
        </w:rPr>
        <w:t xml:space="preserve">الشرح: الدلالة: انقياد الشجر له ﷺ - خصوصيات النبي ﷺ في أمور أخرى </w:t>
      </w:r>
    </w:p>
    <w:p>
      <w:pPr>
        <w:bidi w:val="1"/>
        <w:jc w:val="start"/>
      </w:pPr>
      <w:r>
        <w:rPr>
          <w:rtl w:val="1"/>
        </w:rPr>
        <w:t>الشرح: الدلالة: تسخير الشجر له وامتثاله لأمره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