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الاستغفار-كتاب الصلاة-سنن أبي داود — رقم الحديث: 1529 — الرقم الفرعي: 99 — الرقم الأصلي: 1529</w:t>
        <w:br/>
      </w:r>
      <w:r>
        <w:rPr>
          <w:rtl w:val="1"/>
        </w:rPr>
        <w:t xml:space="preserve"> حدثنا محمد بن رافع ثنا أبو الحسين،زيد بن الحباب ثنا عبد الرحمن بن شريح الإسكندرانيّ حدثني أبو هانىء الخولانيّ أنه سمع أبا عليّ الجنْبيّ أنه سمع أبا سعيد الخُدريّ أنّ رسول الله صلى الله عليه وسلم</w:t>
        <w:br/>
      </w:r>
      <w:r>
        <w:rPr>
          <w:color w:val="000000"/>
          <w:rtl w:val="1"/>
        </w:rPr>
        <w:t xml:space="preserve">قال:  </w:t>
      </w:r>
      <w:r>
        <w:rPr>
          <w:color w:val="FF0000"/>
          <w:rtl w:val="1"/>
        </w:rPr>
        <w:t xml:space="preserve">«مَن قال: رَضِيتُ بالله رَبًّا، وبالإسلامِ دِينًا، وبمُحمَدٍ رَسولًا، وَجَبَتْ له الجنَّة». </w:t>
      </w:r>
    </w:p>
    <w:p>
      <w:pPr>
        <w:bidi w:val="1"/>
        <w:jc w:val="start"/>
      </w:pPr>
      <w:r>
        <w:rPr>
          <w:rtl w:val="1"/>
        </w:rPr>
        <w:t>درجة الحديث: صحيح / صحيح</w:t>
      </w:r>
    </w:p>
    <w:p>
      <w:pPr>
        <w:bidi w:val="1"/>
        <w:jc w:val="start"/>
      </w:pPr>
      <w:r>
        <w:rPr>
          <w:rtl w:val="1"/>
        </w:rPr>
        <w:t>الشرح: الدلالة: * الأذكار - الاعتقادات والعبادات والأعمال الموجبة لدخول الجنة</w:t>
      </w:r>
    </w:p>
    <w:p>
      <w:pPr>
        <w:bidi w:val="1"/>
        <w:jc w:val="start"/>
      </w:pPr>
      <w:r>
        <w:rPr>
          <w:rtl w:val="1"/>
        </w:rPr>
        <w:t>الشرح: الدلالة: فضل رضيت بالله رباً - فضل أذكار مخصوصة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