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لكلّ شيء شرّة ولكلّ شرّة فترة-كتاب صفة القيامة-سنن الترمذي — رقم الحديث: 2453 — الرقم الفرعي: 99 — الرقم الأصلي: 2455</w:t>
        <w:br/>
      </w:r>
      <w:r>
        <w:rPr>
          <w:rtl w:val="1"/>
        </w:rPr>
        <w:t xml:space="preserve"> حدثنا يوسف بن سليمان أبو عمر البصريّ حدثنا حاتم بن إسماعيل عن محمد بن عجلان القعقاع بن حكيم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«إنَّ لِكُلَّ شَيْءٍ ‌شِرّةً  </w:t>
      </w:r>
      <w:r>
        <w:rPr>
          <w:color w:val="000000"/>
          <w:rtl w:val="1"/>
        </w:rPr>
        <w:t xml:space="preserve">ولكُلَّ ‌شِرَّةٍ فَتْرةً، </w:t>
      </w:r>
      <w:r>
        <w:rPr>
          <w:color w:val="FF0000"/>
          <w:rtl w:val="1"/>
        </w:rPr>
        <w:t xml:space="preserve"> فَإنْ صَاحبُها سَدَّدَ وقَاربَ فارْجُوهُ،  </w:t>
      </w:r>
      <w:r>
        <w:rPr>
          <w:color w:val="FF0000"/>
          <w:rtl w:val="1"/>
        </w:rPr>
        <w:t xml:space="preserve">وإنْ أُشِيرَ إلَيْهِ بالأصَابعِ، فَلا تَعُدُّوهُ». </w:t>
      </w:r>
      <w:r>
        <w:rPr>
          <w:color w:val="000000"/>
          <w:rtl w:val="1"/>
        </w:rPr>
        <w:t xml:space="preserve">هذا حديثٌ حسنٌ صحيحٌ غريبٌ من هذا الوجهِ. </w:t>
      </w:r>
      <w:r>
        <w:rPr>
          <w:color w:val="000000"/>
          <w:rtl w:val="1"/>
        </w:rPr>
        <w:t xml:space="preserve">وقد رُوِي عن النبيَّ ﷺ أنّهُ قال: «بِحَسْبِ امْرِئٍ من الشَّرَّ أنْ يُشارَ إلَيْهِ بالأصابعِ في دِينٍ أو دُنْيا إلَّا من عَصمَهُ اللهُ».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