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من نام عن الصلاة،أو نسيها-كتاب الصلاة-سنن أبي داود — رقم الحديث: 438 — الرقم الفرعي: 99 — الرقم الأصلي: 438</w:t>
        <w:br/>
      </w:r>
      <w:r>
        <w:rPr>
          <w:rtl w:val="1"/>
        </w:rPr>
        <w:t xml:space="preserve"> حدثنا عليّ بن نصر ثنا وَهْب بن جَرير ثنا الأسود بن شيبان ثنا خالد بن سُمَيْر</w:t>
        <w:br/>
      </w:r>
      <w:r>
        <w:rPr>
          <w:color w:val="000000"/>
          <w:rtl w:val="1"/>
        </w:rPr>
        <w:t xml:space="preserve">قال: بَعَثَ رسولُ الله ﷺ جيشَ الأمَراءِ، بهذه القِصَّةِ،  </w:t>
      </w:r>
      <w:r>
        <w:rPr>
          <w:color w:val="000000"/>
          <w:rtl w:val="1"/>
        </w:rPr>
        <w:t xml:space="preserve">قال: فلم تُوقِظْنا إلّا الشَّمسُ طالعةً،  </w:t>
      </w:r>
      <w:r>
        <w:rPr>
          <w:color w:val="000000"/>
          <w:rtl w:val="1"/>
        </w:rPr>
        <w:t xml:space="preserve">فقُمنا وَهِلِينَ لِصلاتِنا،  </w:t>
      </w:r>
      <w:r>
        <w:rPr>
          <w:color w:val="000000"/>
          <w:rtl w:val="1"/>
        </w:rPr>
        <w:t xml:space="preserve">فقال النّبيُّ ﷺ: «رُوَيدًا رُوَيدًا»  </w:t>
      </w:r>
      <w:r>
        <w:rPr>
          <w:color w:val="000000"/>
          <w:rtl w:val="1"/>
        </w:rPr>
        <w:t xml:space="preserve">حتَّى إذا تَعالَتِ الشَّمسُ قال رسولُ الله ﷺ: «مَن كانَ منكم يَركَعُ ركعَتَي الفَجرِ فليَركَعهما»  </w:t>
      </w:r>
      <w:r>
        <w:rPr>
          <w:color w:val="000000"/>
          <w:rtl w:val="1"/>
        </w:rPr>
        <w:t xml:space="preserve">فقام مَن كانَ يَركَعُهما ومَن لم يكن يَركَعُهما فرَكَعَهما،  </w:t>
      </w:r>
      <w:r>
        <w:rPr>
          <w:color w:val="000000"/>
          <w:rtl w:val="1"/>
        </w:rPr>
        <w:t xml:space="preserve">ثمَّ أمرَ رسولُ الله ﷺ أن يُنادَى بالصَّلاةِ، فنُودِيَ بها،  </w:t>
      </w:r>
      <w:r>
        <w:rPr>
          <w:color w:val="000000"/>
          <w:rtl w:val="1"/>
        </w:rPr>
        <w:t xml:space="preserve">فقامَ رسولُ الله ﷺ فصَلَّى بنا،  </w:t>
      </w:r>
      <w:r>
        <w:rPr>
          <w:color w:val="000000"/>
          <w:rtl w:val="1"/>
        </w:rPr>
        <w:t xml:space="preserve">فلمَّا انصَرَفَ قال: «ألا إنَّا نَحمَدُ الله أنّا لم نكن في شيءٍ من أُمورِ الدُّنيا يَشغَلُنا عن صلاتِنا،  </w:t>
      </w:r>
      <w:r>
        <w:rPr>
          <w:color w:val="000000"/>
          <w:rtl w:val="1"/>
        </w:rPr>
        <w:t xml:space="preserve">ولكنَّ أَرواحَنا كانت بيَدِ اللهِ عزَّ وجل، فأرسَلَها أنَّى شاء،  </w:t>
      </w:r>
      <w:r>
        <w:rPr>
          <w:color w:val="000000"/>
          <w:rtl w:val="1"/>
        </w:rPr>
        <w:t xml:space="preserve">فمَن أدرَكَ مِنكُم صَلاةَ الغَدَاةِ من غَدٍ صالحًا فليَقْضِ مَعَها مِثلَها». </w:t>
      </w:r>
    </w:p>
    <w:p>
      <w:pPr>
        <w:bidi w:val="1"/>
        <w:jc w:val="start"/>
      </w:pPr>
      <w:r>
        <w:rPr>
          <w:rtl w:val="1"/>
        </w:rPr>
        <w:t>درجة الحديث: شاذ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