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عرق الجنب وأنّ المسلم لا ينجس-كتاب الوضوء-صحيح البخاري — رقم الحديث: 283 — الرقم الفرعي: 99 — الرقم الأصلي: 283</w:t>
        <w:br/>
      </w:r>
      <w:r>
        <w:rPr>
          <w:rtl w:val="1"/>
        </w:rPr>
        <w:t xml:space="preserve"> حدثنا علي بن عبد الله قال:حدثنا يحيى قال:حدثنا حميد قال:حدثنا بكر عن أبي رافع عن أبي هريرة</w:t>
        <w:br/>
      </w:r>
      <w:r>
        <w:rPr>
          <w:color w:val="FF0000"/>
          <w:rtl w:val="1"/>
        </w:rPr>
        <w:t xml:space="preserve">أنَّ النبيَّ ﷺ لَقِيَه في بعضِ طريقِ المدينةِ وهو جُنُبٌ،  </w:t>
      </w:r>
      <w:r>
        <w:rPr>
          <w:color w:val="FF0000"/>
          <w:rtl w:val="1"/>
        </w:rPr>
        <w:t xml:space="preserve">فانخَنَسْتُ منه، فذهبَ فاغتَسَلَ ثمَّ جاءَ،  </w:t>
      </w:r>
      <w:r>
        <w:rPr>
          <w:color w:val="000000"/>
          <w:rtl w:val="1"/>
        </w:rPr>
        <w:t xml:space="preserve">فقال: «أينَ كنتَ يا أبا هُرَيرةَ؟»  </w:t>
      </w:r>
      <w:r>
        <w:rPr>
          <w:color w:val="FF0000"/>
          <w:rtl w:val="1"/>
        </w:rPr>
        <w:t xml:space="preserve">قال: كنتُ جُنُباً، فكَرِهْتُ أنْ أُجالسَكَ وأنا على غيرِ طَهارةٍ،  </w:t>
      </w:r>
      <w:r>
        <w:rPr>
          <w:color w:val="FF0000"/>
          <w:rtl w:val="1"/>
        </w:rPr>
        <w:t xml:space="preserve">فقال: «سُبْحانَ الله! إنَّ المسلمَ لا يَنجُسُ».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المجالسة والمصافحة والمباشرة ونحو ذلك - ما يباح للجنب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طهارة الآدمي - الأعيان الطاهرة</w:t>
      </w:r>
    </w:p>
    <w:p>
      <w:pPr>
        <w:bidi w:val="1"/>
        <w:jc w:val="start"/>
      </w:pPr>
      <w:r>
        <w:rPr>
          <w:rtl w:val="1"/>
        </w:rPr>
        <w:t>الشرح: الدلالة: حياء الصحابة من النبي ﷺ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