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طلاق المعتوه-كتاب الطلاق واللعان-سنن الترمذي — رقم الحديث: 1191 — الرقم الفرعي: 99 — الرقم الأصلي: 1191</w:t>
        <w:br/>
      </w:r>
      <w:r>
        <w:rPr>
          <w:rtl w:val="1"/>
        </w:rPr>
        <w:t xml:space="preserve"> حدثنا محمد بن عبد الأعلى الصنعانيّ أنبأنا مروان بن معاوية الفزاريّ عن عطاء بن عجلان عن عِكرمة بن خالد المخزوميّ عن أبي هريرة قال:قال رسول الله صلى الله عليه وسلم</w:t>
        <w:br/>
      </w:r>
      <w:r>
        <w:rPr>
          <w:color w:val="FF0000"/>
          <w:rtl w:val="1"/>
        </w:rPr>
        <w:t xml:space="preserve">«كلُّ طلاقٍ جائزٌ، إلّا طلاقَ المَعتُوهِ المَغلُوبِ على عَقلِه». </w:t>
      </w:r>
      <w:r>
        <w:rPr>
          <w:color w:val="000000"/>
          <w:rtl w:val="1"/>
        </w:rPr>
        <w:t xml:space="preserve">هذا حديثٌ لا نَعرفُه مرفوعًا إلّا مِن حديث عطاءِ بن عَجْلان،  </w:t>
      </w:r>
      <w:r>
        <w:rPr>
          <w:color w:val="000000"/>
          <w:rtl w:val="1"/>
        </w:rPr>
        <w:t xml:space="preserve">وعطاءُ بنُ عَجْلان ضعيفٌ ذاهبُ الحديث. </w:t>
      </w:r>
      <w:r>
        <w:rPr>
          <w:color w:val="000000"/>
          <w:rtl w:val="1"/>
        </w:rPr>
        <w:t xml:space="preserve">والعملُ على هذا عندَ أَهلِ العِلم من أَصحابِ النّبيِّ ﷺ وغيرِهم؛  </w:t>
      </w:r>
      <w:r>
        <w:rPr>
          <w:color w:val="000000"/>
          <w:rtl w:val="1"/>
        </w:rPr>
        <w:t xml:space="preserve">أنَّ طلاقَ المَعتُوهِ المَغلُوبِ على عَقْلِه لا يجوز، إلّا أن يكونَ معتوهًا يُفِيقُ الأحيانَ فيُطلِّقُ في حالِ إفاقتِه.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 لا يقع منه الطلاق (كالمجنون والمعتوه والصغير والمكره) - الطلاق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