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مَن كظم غيظاً-كتاب الأدب-سنن أبي داود — رقم الحديث: 4777 — الرقم الفرعي: 99 — الرقم الأصلي: 4777</w:t>
        <w:br/>
      </w:r>
      <w:r>
        <w:rPr>
          <w:rtl w:val="1"/>
        </w:rPr>
        <w:t xml:space="preserve"> حدثنا ابن السرح ثنا ابن وهب عن سعيد ملاحظة يعني بن أبي أيوب عن أبي مرحوم عن سهل بن معاذ عن أبيه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«من كظمَ غيظًا، وهو قادِرٌ على أن يُنفِذَهُ، دعاهُ اللهُ عَزَّ وجَلَّ على رؤوسِ الخَلائقِ يومَ القيامةِ، حتّى يُخيِّرَه مِنْ أيِّ الحُورِ شَاءَ».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مظاهر التغير الاجتماعي وأشكاله</w:t>
      </w:r>
    </w:p>
    <w:p>
      <w:pPr>
        <w:bidi w:val="1"/>
        <w:jc w:val="start"/>
      </w:pPr>
      <w:r>
        <w:rPr>
          <w:rtl w:val="1"/>
        </w:rPr>
        <w:t>الشرح: الدلالة: إعداد الداعي (تربية الداعي وتأهيله)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الاتزان والهدوء وكظم الغيظ وضبط الانفعالات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المظهر الاخلاقي - مظاهر التغير الاجتماعي وأشكاله</w:t>
      </w:r>
    </w:p>
    <w:p>
      <w:pPr>
        <w:bidi w:val="1"/>
        <w:jc w:val="start"/>
      </w:pPr>
      <w:r>
        <w:rPr>
          <w:rtl w:val="1"/>
        </w:rPr>
        <w:t>الشرح: الدلالة: صفات الداعي المكتسبة (الخلقية) يحال إلى الأخلاق</w:t>
      </w:r>
    </w:p>
    <w:p>
      <w:pPr>
        <w:bidi w:val="1"/>
        <w:jc w:val="start"/>
      </w:pPr>
      <w:r>
        <w:rPr>
          <w:rtl w:val="1"/>
        </w:rPr>
        <w:t>الشرح: الدلالة: إعداد الداعي خلقيا (يحال إلى الأخلاق)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الأخلاقية (يحال إلى التربية)</w:t>
      </w:r>
    </w:p>
    <w:p>
      <w:pPr>
        <w:bidi w:val="1"/>
        <w:jc w:val="start"/>
      </w:pPr>
      <w:r>
        <w:rPr>
          <w:rtl w:val="1"/>
        </w:rPr>
        <w:t>الشرح: الدلالة: فضل العَفو والحلم - قِيمُ العَفو والصَّفح والحِلْم</w:t>
      </w:r>
    </w:p>
    <w:p>
      <w:pPr>
        <w:bidi w:val="1"/>
        <w:jc w:val="start"/>
      </w:pPr>
      <w:r>
        <w:rPr>
          <w:rtl w:val="1"/>
        </w:rPr>
        <w:t>الشرح: الدلالة: كنى المحدثين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ثانيًا: قيمة العفو عند المقدرة - مظاهر ضبط الانفعالات والعواطف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