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********-كتاب ثواب القرآن-سنن الترمذي — رقم الحديث: 2875 — الرقم الفرعي: 99 — الرقم الأصلي: 2878</w:t>
        <w:br/>
      </w:r>
      <w:r>
        <w:rPr>
          <w:rtl w:val="1"/>
        </w:rPr>
        <w:t xml:space="preserve"> حدثنا قتيبة حدثنا عبد العزيز بن محمد عن العلاء بن عبد الرحمن عن أبيه عن أبي هريرة</w:t>
        <w:br/>
      </w:r>
      <w:r>
        <w:rPr>
          <w:color w:val="FF0000"/>
          <w:rtl w:val="1"/>
        </w:rPr>
        <w:t xml:space="preserve">أنَّ رسولَ الله ﷺ خَرجَ على أُبَيِّ بنِ كعب، فقال رسولُ الله ﷺ: «يا أُبيُّ»، وهو يُصلِّي،  </w:t>
      </w:r>
      <w:r>
        <w:rPr>
          <w:color w:val="FF0000"/>
          <w:rtl w:val="1"/>
        </w:rPr>
        <w:t xml:space="preserve">فالتَفَتَ أُبيٌّ فلم يُجِبْهُ، وصلَّى أُبيٌّ فخَفَّفَ،  </w:t>
      </w:r>
      <w:r>
        <w:rPr>
          <w:color w:val="FF0000"/>
          <w:rtl w:val="1"/>
        </w:rPr>
        <w:t xml:space="preserve">ثُم انصَرَفَ إلى رسولِ الله ﷺ، فقال: السَّلامُ عليكَ يا رسولَ الله،  </w:t>
      </w:r>
      <w:r>
        <w:rPr>
          <w:color w:val="FF0000"/>
          <w:rtl w:val="1"/>
        </w:rPr>
        <w:t xml:space="preserve">فقال رسولُ الله ﷺ: «عَليكَ السَّلامُ، ما مَنَعكَ يا أُبيُّ أن تُجيبَني إذ دَعَوتُك؟»  </w:t>
      </w:r>
      <w:r>
        <w:rPr>
          <w:color w:val="FF0000"/>
          <w:rtl w:val="1"/>
        </w:rPr>
        <w:t xml:space="preserve">فقال: يا رسولَ الله، إنِّي كنتُ في الصَّلاة،  </w:t>
      </w:r>
      <w:r>
        <w:rPr>
          <w:color w:val="FF0000"/>
          <w:rtl w:val="1"/>
        </w:rPr>
        <w:t xml:space="preserve">قال: «فلَم تَجِدْ فيما أَوحَى اللهُ إليَّ أنِ ﴿اسْتَجِيبُوا لِلَّهِ وَلِلرَّسُولِ إِذَا دَعَاكُمْ لِمَا يُحْيِيْكُم﴾ [الأنفال: 24]؟»  </w:t>
      </w:r>
      <w:r>
        <w:rPr>
          <w:color w:val="FF0000"/>
          <w:rtl w:val="1"/>
        </w:rPr>
        <w:t xml:space="preserve">قال: بَلَى، ولا أَعودُ إن شاءَ اللهُ،  </w:t>
      </w:r>
      <w:r>
        <w:rPr>
          <w:color w:val="FF0000"/>
          <w:rtl w:val="1"/>
        </w:rPr>
        <w:t xml:space="preserve">قال: «تُحِبُّ أن أُعلِّمَكَ سُورةً لم يَنزِلْ في التَّوراةِ ولا في الإنْجيلِ ولا في الزَّبُورِ ولا في الفُرقانِ مِثلُها؟»  </w:t>
      </w:r>
      <w:r>
        <w:rPr>
          <w:color w:val="FF0000"/>
          <w:rtl w:val="1"/>
        </w:rPr>
        <w:t xml:space="preserve">قال: نَعَم يا رسولَ الله،  </w:t>
      </w:r>
      <w:r>
        <w:rPr>
          <w:color w:val="FF0000"/>
          <w:rtl w:val="1"/>
        </w:rPr>
        <w:t xml:space="preserve">فقالَ رسولُ الله ﷺ: «كيفَ تَقرأُ في الصَّلاة؟» قال: فقَرأَ أُمَّ القرآن،  </w:t>
      </w:r>
      <w:r>
        <w:rPr>
          <w:color w:val="FF0000"/>
          <w:rtl w:val="1"/>
        </w:rPr>
        <w:t xml:space="preserve">فقالَ رسولُ الله ﷺ: «والذي نَفْسي بِيَدِه ما أُنزِلتْ في التَّوراةِ ولا في الإنجيلِ ولا في الزَّبُورِ ولا في الفُرقانِ مِثلُها، وإنَّها سَبْعٌ مِن المَثَاني والقُرآنِ العَظيمِ الذي أُعطِيتُه».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وفي الباب عن أنسِ بنِ مالك.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 xml:space="preserve">الشرح: الدلالة: من حقه ﷺ إجابة من يدعوه - فرضُ الإيمان به ﷺ ووجوب طاعته ... 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